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4F" w:rsidRPr="00A4614F" w:rsidRDefault="00A4614F" w:rsidP="00A4614F">
      <w:pPr>
        <w:shd w:val="clear" w:color="auto" w:fill="FFFFFF"/>
        <w:spacing w:after="0" w:line="240" w:lineRule="auto"/>
        <w:jc w:val="center"/>
        <w:outlineLvl w:val="0"/>
        <w:rPr>
          <w:rFonts w:ascii="Georgia" w:eastAsia="Times New Roman" w:hAnsi="Georgia" w:cs="Times New Roman"/>
          <w:i/>
          <w:iCs/>
          <w:color w:val="3399FF"/>
          <w:kern w:val="36"/>
          <w:sz w:val="26"/>
          <w:szCs w:val="26"/>
          <w:lang w:eastAsia="ru-RU"/>
        </w:rPr>
      </w:pPr>
      <w:r w:rsidRPr="00A4614F">
        <w:rPr>
          <w:rFonts w:ascii="Georgia" w:eastAsia="Times New Roman" w:hAnsi="Georgia" w:cs="Times New Roman"/>
          <w:i/>
          <w:iCs/>
          <w:color w:val="3399FF"/>
          <w:kern w:val="36"/>
          <w:sz w:val="26"/>
          <w:szCs w:val="26"/>
          <w:lang w:eastAsia="ru-RU"/>
        </w:rPr>
        <w:t>СН 549-82. Инструкция по проектированию, изготовлению и применению конструкций и изделий из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ГОСУДАРСТВЕННЫЙ КОМИТЕТ СССР</w:t>
      </w:r>
      <w:r w:rsidRPr="00A4614F">
        <w:rPr>
          <w:rFonts w:ascii="Verdana" w:eastAsia="Times New Roman" w:hAnsi="Verdana" w:cs="Times New Roman"/>
          <w:color w:val="333333"/>
          <w:sz w:val="18"/>
          <w:szCs w:val="18"/>
          <w:lang w:eastAsia="ru-RU"/>
        </w:rPr>
        <w:br/>
        <w:t>ПО ДЕЛАМ СТРОИТЕЛЬСТВА (ГОССТРОЙ СССР)</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ИНСТРУКЦИЯ</w:t>
      </w:r>
      <w:r w:rsidRPr="00A4614F">
        <w:rPr>
          <w:rFonts w:ascii="Verdana" w:eastAsia="Times New Roman" w:hAnsi="Verdana" w:cs="Times New Roman"/>
          <w:b/>
          <w:bCs/>
          <w:color w:val="333333"/>
          <w:sz w:val="18"/>
          <w:szCs w:val="18"/>
          <w:lang w:eastAsia="ru-RU"/>
        </w:rPr>
        <w:br/>
      </w:r>
      <w:r w:rsidRPr="00A4614F">
        <w:rPr>
          <w:rFonts w:ascii="Verdana" w:eastAsia="Times New Roman" w:hAnsi="Verdana" w:cs="Times New Roman"/>
          <w:b/>
          <w:bCs/>
          <w:color w:val="333333"/>
          <w:sz w:val="18"/>
          <w:lang w:eastAsia="ru-RU"/>
        </w:rPr>
        <w:t>по проектированию, изготовлению и применению</w:t>
      </w:r>
      <w:r w:rsidRPr="00A4614F">
        <w:rPr>
          <w:rFonts w:ascii="Verdana" w:eastAsia="Times New Roman" w:hAnsi="Verdana" w:cs="Times New Roman"/>
          <w:b/>
          <w:bCs/>
          <w:color w:val="333333"/>
          <w:sz w:val="18"/>
          <w:szCs w:val="18"/>
          <w:lang w:eastAsia="ru-RU"/>
        </w:rPr>
        <w:br/>
      </w:r>
      <w:r w:rsidRPr="00A4614F">
        <w:rPr>
          <w:rFonts w:ascii="Verdana" w:eastAsia="Times New Roman" w:hAnsi="Verdana" w:cs="Times New Roman"/>
          <w:b/>
          <w:bCs/>
          <w:color w:val="333333"/>
          <w:sz w:val="18"/>
          <w:lang w:eastAsia="ru-RU"/>
        </w:rPr>
        <w:t>конструкций и изделий из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i/>
          <w:iCs/>
          <w:color w:val="333333"/>
          <w:sz w:val="18"/>
          <w:lang w:eastAsia="ru-RU"/>
        </w:rPr>
        <w:t>Утверждена</w:t>
      </w:r>
      <w:r w:rsidRPr="00A4614F">
        <w:rPr>
          <w:rFonts w:ascii="Verdana" w:eastAsia="Times New Roman" w:hAnsi="Verdana" w:cs="Times New Roman"/>
          <w:i/>
          <w:iCs/>
          <w:color w:val="333333"/>
          <w:sz w:val="18"/>
          <w:szCs w:val="18"/>
          <w:lang w:eastAsia="ru-RU"/>
        </w:rPr>
        <w:br/>
      </w:r>
      <w:r w:rsidRPr="00A4614F">
        <w:rPr>
          <w:rFonts w:ascii="Verdana" w:eastAsia="Times New Roman" w:hAnsi="Verdana" w:cs="Times New Roman"/>
          <w:i/>
          <w:iCs/>
          <w:color w:val="333333"/>
          <w:sz w:val="18"/>
          <w:lang w:eastAsia="ru-RU"/>
        </w:rPr>
        <w:t>постановлением Государственного комитета СССР</w:t>
      </w:r>
      <w:r w:rsidRPr="00A4614F">
        <w:rPr>
          <w:rFonts w:ascii="Verdana" w:eastAsia="Times New Roman" w:hAnsi="Verdana" w:cs="Times New Roman"/>
          <w:i/>
          <w:iCs/>
          <w:color w:val="333333"/>
          <w:sz w:val="18"/>
          <w:szCs w:val="18"/>
          <w:lang w:eastAsia="ru-RU"/>
        </w:rPr>
        <w:br/>
      </w:r>
      <w:r w:rsidRPr="00A4614F">
        <w:rPr>
          <w:rFonts w:ascii="Verdana" w:eastAsia="Times New Roman" w:hAnsi="Verdana" w:cs="Times New Roman"/>
          <w:i/>
          <w:iCs/>
          <w:color w:val="333333"/>
          <w:sz w:val="18"/>
          <w:lang w:eastAsia="ru-RU"/>
        </w:rPr>
        <w:t>по делам строительства от 4 мая 1982 г. № 116</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Содержит основные положения по проектированию, изготовлению и применению изделий из арболита.</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Приведены нормативные и расчетные характеристики, методы расчета арболитовыхконструкций на сжатие, изгиб и изгибаемых элементов по деформациям. Изложены общие вопросы технологии производства изделий из арболита; даны требования к материалам, правила назначения составов арболита, их приготовления, формования, твердения, приемки, транспортирования и контроля качества готовых изделий.</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Для специалистов проектных институтов и конструкторских бюро, а также для инженерно-технических работников заводов - изготовителей изделий и конструкций из арболита.</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Разработана НИИЖБом Госстроя СССР с участием ПТПО «Сельстройматериалы» Росколхозстройобъединения и ВНИИДрева Минлесбумпрома СССР. Использованы материалы ЦНИИЭПсельстроя Минсельстроя СССР, московского лесотехнического института Минвуза СССР, Горьковского инженерно-строительного института Минвуза СССР, НИИСФ Госстроя СССР, Гипростроммаша Минстройдормаша.</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Редакторы - инж. П.А. Демянюк, канд. техн. наук И.В. Белый, инж. И.Д. Бабкин (Госстрой СССР), д-р техн. наук И.Е. Путляев, кандидаты техн. наук В.И. Савин, А.А. Кудрявцев, Г.Е. Колосов (НИИЖБ Госстроя СССР).</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6"/>
        <w:gridCol w:w="2084"/>
        <w:gridCol w:w="2106"/>
      </w:tblGrid>
      <w:tr w:rsidR="00A4614F" w:rsidRPr="00A4614F" w:rsidTr="00A4614F">
        <w:trPr>
          <w:tblCellSpacing w:w="22" w:type="dxa"/>
          <w:jc w:val="center"/>
        </w:trPr>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Строительные нормы</w:t>
            </w:r>
          </w:p>
        </w:tc>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СН 549-82</w:t>
            </w:r>
          </w:p>
        </w:tc>
      </w:tr>
      <w:tr w:rsidR="00A4614F" w:rsidRPr="00A4614F" w:rsidTr="00A4614F">
        <w:trPr>
          <w:tblCellSpacing w:w="22" w:type="dxa"/>
          <w:jc w:val="center"/>
        </w:trPr>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Государственный</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комитет СССР</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по делам строительства</w:t>
            </w:r>
            <w:r w:rsidRPr="00A4614F">
              <w:rPr>
                <w:rFonts w:ascii="Times New Roman" w:eastAsia="Times New Roman" w:hAnsi="Times New Roman" w:cs="Times New Roman"/>
                <w:sz w:val="18"/>
                <w:szCs w:val="18"/>
                <w:lang w:eastAsia="ru-RU"/>
              </w:rPr>
              <w:br/>
              <w:t>(Госстрой СССР)</w:t>
            </w:r>
          </w:p>
        </w:tc>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Инструкция</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по проектированию,</w:t>
            </w:r>
            <w:r w:rsidRPr="00A4614F">
              <w:rPr>
                <w:rFonts w:ascii="Times New Roman" w:eastAsia="Times New Roman" w:hAnsi="Times New Roman" w:cs="Times New Roman"/>
                <w:sz w:val="18"/>
                <w:szCs w:val="18"/>
                <w:lang w:eastAsia="ru-RU"/>
              </w:rPr>
              <w:br/>
              <w:t>изготовлению 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применению конструкций и изделий из арболита</w:t>
            </w:r>
          </w:p>
        </w:tc>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tc>
      </w:tr>
    </w:tbl>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 </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1. Общие положения</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1.1. Требования настоящей Инструкции необходимо соблюдать при проектировании, изготовлении и применении конструкций и изделий из одной разновидности арболита – бетона цементного на измельченной древесине (дробленке).</w:t>
      </w:r>
      <w:r w:rsidRPr="00A4614F">
        <w:rPr>
          <w:rFonts w:ascii="Verdana" w:eastAsia="Times New Roman" w:hAnsi="Verdana" w:cs="Times New Roman"/>
          <w:color w:val="333333"/>
          <w:sz w:val="18"/>
          <w:szCs w:val="18"/>
          <w:lang w:eastAsia="ru-RU"/>
        </w:rPr>
        <w:br/>
        <w:t>1.2. Конструкции изделия из арболита (именуемые в дальнейшем конструкции) применяются в качестве:</w:t>
      </w:r>
      <w:r w:rsidRPr="00A4614F">
        <w:rPr>
          <w:rFonts w:ascii="Verdana" w:eastAsia="Times New Roman" w:hAnsi="Verdana" w:cs="Times New Roman"/>
          <w:color w:val="333333"/>
          <w:sz w:val="18"/>
          <w:szCs w:val="18"/>
          <w:lang w:eastAsia="ru-RU"/>
        </w:rPr>
        <w:br/>
        <w:t>панелей и блоков наружных и внутренних стен;</w:t>
      </w:r>
      <w:r w:rsidRPr="00A4614F">
        <w:rPr>
          <w:rFonts w:ascii="Verdana" w:eastAsia="Times New Roman" w:hAnsi="Verdana" w:cs="Times New Roman"/>
          <w:color w:val="333333"/>
          <w:sz w:val="18"/>
          <w:szCs w:val="18"/>
          <w:lang w:eastAsia="ru-RU"/>
        </w:rPr>
        <w:br/>
        <w:t>плит перекрытий и покрытий;</w:t>
      </w:r>
      <w:r w:rsidRPr="00A4614F">
        <w:rPr>
          <w:rFonts w:ascii="Verdana" w:eastAsia="Times New Roman" w:hAnsi="Verdana" w:cs="Times New Roman"/>
          <w:color w:val="333333"/>
          <w:sz w:val="18"/>
          <w:szCs w:val="18"/>
          <w:lang w:eastAsia="ru-RU"/>
        </w:rPr>
        <w:br/>
        <w:t>панелей перегородок;</w:t>
      </w:r>
      <w:r w:rsidRPr="00A4614F">
        <w:rPr>
          <w:rFonts w:ascii="Verdana" w:eastAsia="Times New Roman" w:hAnsi="Verdana" w:cs="Times New Roman"/>
          <w:color w:val="333333"/>
          <w:sz w:val="18"/>
          <w:szCs w:val="18"/>
          <w:lang w:eastAsia="ru-RU"/>
        </w:rPr>
        <w:br/>
        <w:t>теплоизоляционных плит в ограждающих конструкциях.</w:t>
      </w:r>
      <w:r w:rsidRPr="00A4614F">
        <w:rPr>
          <w:rFonts w:ascii="Verdana" w:eastAsia="Times New Roman" w:hAnsi="Verdana" w:cs="Times New Roman"/>
          <w:color w:val="333333"/>
          <w:sz w:val="18"/>
          <w:szCs w:val="18"/>
          <w:lang w:eastAsia="ru-RU"/>
        </w:rPr>
        <w:br/>
        <w:t>1.3. Конструкции из арболита разделяются:</w:t>
      </w:r>
      <w:r w:rsidRPr="00A4614F">
        <w:rPr>
          <w:rFonts w:ascii="Verdana" w:eastAsia="Times New Roman" w:hAnsi="Verdana" w:cs="Times New Roman"/>
          <w:color w:val="333333"/>
          <w:sz w:val="18"/>
          <w:szCs w:val="18"/>
          <w:lang w:eastAsia="ru-RU"/>
        </w:rPr>
        <w:br/>
        <w:t>по назначению – на теплоизоляционные, конструкционно-тепло</w:t>
      </w:r>
      <w:r w:rsidRPr="00A4614F">
        <w:rPr>
          <w:rFonts w:ascii="Verdana" w:eastAsia="Times New Roman" w:hAnsi="Verdana" w:cs="Times New Roman"/>
          <w:color w:val="333333"/>
          <w:sz w:val="18"/>
          <w:szCs w:val="18"/>
          <w:lang w:eastAsia="ru-RU"/>
        </w:rPr>
        <w:softHyphen/>
        <w:t xml:space="preserve">изоляционные и </w:t>
      </w:r>
      <w:r w:rsidRPr="00A4614F">
        <w:rPr>
          <w:rFonts w:ascii="Verdana" w:eastAsia="Times New Roman" w:hAnsi="Verdana" w:cs="Times New Roman"/>
          <w:color w:val="333333"/>
          <w:sz w:val="18"/>
          <w:szCs w:val="18"/>
          <w:lang w:eastAsia="ru-RU"/>
        </w:rPr>
        <w:lastRenderedPageBreak/>
        <w:t>конструкционные;</w:t>
      </w:r>
      <w:r w:rsidRPr="00A4614F">
        <w:rPr>
          <w:rFonts w:ascii="Verdana" w:eastAsia="Times New Roman" w:hAnsi="Verdana" w:cs="Times New Roman"/>
          <w:color w:val="333333"/>
          <w:sz w:val="18"/>
          <w:szCs w:val="18"/>
          <w:lang w:eastAsia="ru-RU"/>
        </w:rPr>
        <w:br/>
        <w:t>по армированию – на армированные и неармированные;</w:t>
      </w:r>
      <w:r w:rsidRPr="00A4614F">
        <w:rPr>
          <w:rFonts w:ascii="Verdana" w:eastAsia="Times New Roman" w:hAnsi="Verdana" w:cs="Times New Roman"/>
          <w:color w:val="333333"/>
          <w:sz w:val="18"/>
          <w:szCs w:val="18"/>
          <w:lang w:eastAsia="ru-RU"/>
        </w:rPr>
        <w:br/>
        <w:t>по количеству слоев – на однослойные и многослойные.</w:t>
      </w:r>
      <w:r w:rsidRPr="00A4614F">
        <w:rPr>
          <w:rFonts w:ascii="Verdana" w:eastAsia="Times New Roman" w:hAnsi="Verdana" w:cs="Times New Roman"/>
          <w:color w:val="333333"/>
          <w:sz w:val="18"/>
          <w:szCs w:val="18"/>
          <w:lang w:eastAsia="ru-RU"/>
        </w:rPr>
        <w:br/>
        <w:t>Примечание: Конструкции с наружным и внутренним отделочными слоями по цементно-песчаного раствора толщиной до 2 см относятся к однослойным.</w:t>
      </w:r>
      <w:r w:rsidRPr="00A4614F">
        <w:rPr>
          <w:rFonts w:ascii="Verdana" w:eastAsia="Times New Roman" w:hAnsi="Verdana" w:cs="Times New Roman"/>
          <w:color w:val="333333"/>
          <w:sz w:val="18"/>
          <w:szCs w:val="18"/>
          <w:lang w:eastAsia="ru-RU"/>
        </w:rPr>
        <w:br/>
        <w:t>1.4. Конструкции из арболита должны удовлетворять требованиям соответствующих стандартов и рабочих чертежей. Испытание арболита и конструкций из него должно производиться по ГОСТ 19222–73.</w:t>
      </w:r>
      <w:r w:rsidRPr="00A4614F">
        <w:rPr>
          <w:rFonts w:ascii="Verdana" w:eastAsia="Times New Roman" w:hAnsi="Verdana" w:cs="Times New Roman"/>
          <w:color w:val="333333"/>
          <w:sz w:val="18"/>
          <w:szCs w:val="18"/>
          <w:lang w:eastAsia="ru-RU"/>
        </w:rPr>
        <w:br/>
        <w:t>1.5. Изготовление конструкций из арболита должно производиться по утвержденным в установленном порядке технологическим картам, составленным применительно к условиям конкретного производства, сырья и вида конструкций.</w:t>
      </w:r>
      <w:r w:rsidRPr="00A4614F">
        <w:rPr>
          <w:rFonts w:ascii="Verdana" w:eastAsia="Times New Roman" w:hAnsi="Verdana" w:cs="Times New Roman"/>
          <w:color w:val="333333"/>
          <w:sz w:val="18"/>
          <w:szCs w:val="18"/>
          <w:lang w:eastAsia="ru-RU"/>
        </w:rPr>
        <w:br/>
        <w:t>1.6. При изготовлении, транспортировании и монтаже конструкций из арболита следует соблюдать правила техники безопасности в строительстве, а также правила противопожарной техники.</w:t>
      </w:r>
      <w:r w:rsidRPr="00A4614F">
        <w:rPr>
          <w:rFonts w:ascii="Verdana" w:eastAsia="Times New Roman" w:hAnsi="Verdana" w:cs="Times New Roman"/>
          <w:color w:val="333333"/>
          <w:sz w:val="18"/>
          <w:szCs w:val="18"/>
          <w:lang w:eastAsia="ru-RU"/>
        </w:rPr>
        <w:br/>
        <w:t>1.7. Панели и блоки наружных и внутренних стен из арболита предназначаются для жилых, общественных, промышленных и сельскохозяйственных зданий с относительной влажностью воздуха помещений не более 75 %, при отсутствии в них агрессивных сред и систематическом воздействии температур не выше 50°С и не ниже минус 40°С. Допускается применять ограждающие конструкции из арболита в животноводческих зданиях со слабоагрессивной средой при устройстве на внутренних поверхностях этих конструкций пароизоляционного слоя, который должен предусматриваться рабочими чертежами.</w:t>
      </w:r>
      <w:r w:rsidRPr="00A4614F">
        <w:rPr>
          <w:rFonts w:ascii="Verdana" w:eastAsia="Times New Roman" w:hAnsi="Verdana" w:cs="Times New Roman"/>
          <w:color w:val="333333"/>
          <w:sz w:val="18"/>
          <w:szCs w:val="18"/>
          <w:lang w:eastAsia="ru-RU"/>
        </w:rPr>
        <w:br/>
        <w:t>Степень агрессивного воздействия газовых сред и меры защиты должны приниматься согласно главе СНиП по защите строительных конструкций от коррозии (как для конструкций из бетонов на пористых заполнителях).</w:t>
      </w:r>
      <w:r w:rsidRPr="00A4614F">
        <w:rPr>
          <w:rFonts w:ascii="Verdana" w:eastAsia="Times New Roman" w:hAnsi="Verdana" w:cs="Times New Roman"/>
          <w:color w:val="333333"/>
          <w:sz w:val="18"/>
          <w:szCs w:val="18"/>
          <w:lang w:eastAsia="ru-RU"/>
        </w:rPr>
        <w:br/>
        <w:t>1.8. Плиты покрытий и перекрытий из арболита допускается применять в зданиях различного назначения с относительной влажностью воздуха помещений не более 60 % и при отсутствии агрессивных сред только в виде составных конструкций в сочетании с железобетоном.</w:t>
      </w:r>
      <w:r w:rsidRPr="00A4614F">
        <w:rPr>
          <w:rFonts w:ascii="Verdana" w:eastAsia="Times New Roman" w:hAnsi="Verdana" w:cs="Times New Roman"/>
          <w:color w:val="333333"/>
          <w:sz w:val="18"/>
          <w:szCs w:val="18"/>
          <w:lang w:eastAsia="ru-RU"/>
        </w:rPr>
        <w:br/>
        <w:t>1.9. Арматуру в конструкциях из арболита необходимо защищать антикоррозионными покрытиями в соответствии с Инструкцией по изготовлению изделий из ячеистого бетона.</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6"/>
        <w:gridCol w:w="2084"/>
        <w:gridCol w:w="2106"/>
      </w:tblGrid>
      <w:tr w:rsidR="00A4614F" w:rsidRPr="00A4614F" w:rsidTr="00A4614F">
        <w:trPr>
          <w:tblCellSpacing w:w="22" w:type="dxa"/>
          <w:jc w:val="center"/>
        </w:trPr>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Внесена</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НИИЖБом</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Госстроя СССР</w:t>
            </w:r>
          </w:p>
        </w:tc>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Утверждена постановлением Государственного комитета СССР по делам строительства</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от 4 мая 1982  г. № 116</w:t>
            </w:r>
          </w:p>
        </w:tc>
        <w:tc>
          <w:tcPr>
            <w:tcW w:w="20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Срок введения</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 действие</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1 января 1983 г.</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br w:type="textWrapping" w:clear="all"/>
      </w:r>
      <w:r w:rsidRPr="00A4614F">
        <w:rPr>
          <w:rFonts w:ascii="Verdana" w:eastAsia="Times New Roman" w:hAnsi="Verdana" w:cs="Times New Roman"/>
          <w:color w:val="333333"/>
          <w:sz w:val="18"/>
          <w:szCs w:val="18"/>
          <w:lang w:eastAsia="ru-RU"/>
        </w:rPr>
        <w:br/>
        <w:t>1.10. Наружная поверхность конструкций из арболита, соприкасающаяся с атмосферной влагой, независимо от влажностного режима помещений, должна иметь отделочный (фактурный) слой, обеспечивающий защиту арболита от увлажнения.</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2. Требования к исходным материалам, </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lang w:eastAsia="ru-RU"/>
        </w:rPr>
        <w:t>арболиту и конструкциям из него</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2.1. Для изготовления конструкций из арболита применяются следующие материалы:</w:t>
      </w:r>
      <w:r w:rsidRPr="00A4614F">
        <w:rPr>
          <w:rFonts w:ascii="Verdana" w:eastAsia="Times New Roman" w:hAnsi="Verdana" w:cs="Times New Roman"/>
          <w:color w:val="333333"/>
          <w:sz w:val="18"/>
          <w:szCs w:val="18"/>
          <w:lang w:eastAsia="ru-RU"/>
        </w:rPr>
        <w:br/>
        <w:t>вяжущее (портландцемент и его разновидности), заполнители (отходы лесозаготовок, лесопиления и деревообработки, одубина), химические и порообразующие добавки (хлорид кальция, жидкое стекло, сернокислый алюминий и др.), арматура, материалы для антикоррозионной защиты арматуры и отделки поверхностей конструкций.</w:t>
      </w:r>
      <w:r w:rsidRPr="00A4614F">
        <w:rPr>
          <w:rFonts w:ascii="Verdana" w:eastAsia="Times New Roman" w:hAnsi="Verdana" w:cs="Times New Roman"/>
          <w:color w:val="333333"/>
          <w:sz w:val="18"/>
          <w:szCs w:val="18"/>
          <w:lang w:eastAsia="ru-RU"/>
        </w:rPr>
        <w:br/>
        <w:t>2.2. Вяжущие должны удовлетворять требованиям следующих стандартов:</w:t>
      </w:r>
    </w:p>
    <w:tbl>
      <w:tblPr>
        <w:tblW w:w="8400" w:type="dxa"/>
        <w:tblCellSpacing w:w="0" w:type="dxa"/>
        <w:tblCellMar>
          <w:left w:w="0" w:type="dxa"/>
          <w:right w:w="0" w:type="dxa"/>
        </w:tblCellMar>
        <w:tblLook w:val="04A0"/>
      </w:tblPr>
      <w:tblGrid>
        <w:gridCol w:w="6000"/>
        <w:gridCol w:w="2400"/>
      </w:tblGrid>
      <w:tr w:rsidR="00A4614F" w:rsidRPr="00A4614F" w:rsidTr="00A4614F">
        <w:trPr>
          <w:tblCellSpacing w:w="0" w:type="dxa"/>
        </w:trPr>
        <w:tc>
          <w:tcPr>
            <w:tcW w:w="6000" w:type="dxa"/>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портландцемент и быстротвердеющий портландцемент </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10178–76;</w:t>
            </w:r>
          </w:p>
        </w:tc>
      </w:tr>
      <w:tr w:rsidR="00A4614F" w:rsidRPr="00A4614F" w:rsidTr="00A4614F">
        <w:trPr>
          <w:tblCellSpacing w:w="0" w:type="dxa"/>
        </w:trPr>
        <w:tc>
          <w:tcPr>
            <w:tcW w:w="5250" w:type="dxa"/>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цемент сульфатостойкий</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22266–76;</w:t>
            </w:r>
          </w:p>
        </w:tc>
      </w:tr>
      <w:tr w:rsidR="00A4614F" w:rsidRPr="00A4614F" w:rsidTr="00A4614F">
        <w:trPr>
          <w:tblCellSpacing w:w="0" w:type="dxa"/>
        </w:trPr>
        <w:tc>
          <w:tcPr>
            <w:tcW w:w="5250" w:type="dxa"/>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портландцемент белый</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965–78;</w:t>
            </w:r>
          </w:p>
        </w:tc>
      </w:tr>
      <w:tr w:rsidR="00A4614F" w:rsidRPr="00A4614F" w:rsidTr="00A4614F">
        <w:trPr>
          <w:tblCellSpacing w:w="0" w:type="dxa"/>
        </w:trPr>
        <w:tc>
          <w:tcPr>
            <w:tcW w:w="5250" w:type="dxa"/>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портландцемент цветной</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15825–80.</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2.3. Заполнители готовятся из органического древесного технологического сырья путем дробления и рассева.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2.4. Заполнители должны приготовляться из следующих пород древесины: ели, сосны, кедра, пихты. Допускается использовать березу, ольху, липу, тополь, осину и другие породы древесины, а также их смеси после лабораторной проверки при соблюдении требований п. 2.12.</w:t>
      </w:r>
      <w:r w:rsidRPr="00A4614F">
        <w:rPr>
          <w:rFonts w:ascii="Verdana" w:eastAsia="Times New Roman" w:hAnsi="Verdana" w:cs="Times New Roman"/>
          <w:color w:val="333333"/>
          <w:sz w:val="18"/>
          <w:szCs w:val="18"/>
          <w:lang w:eastAsia="ru-RU"/>
        </w:rPr>
        <w:br/>
        <w:t>2.5. Технологическое древесное сырье поставляется на предприятие как отдельно по породам, так и в смешанном виде в различных соотношениях.</w:t>
      </w:r>
      <w:r w:rsidRPr="00A4614F">
        <w:rPr>
          <w:rFonts w:ascii="Verdana" w:eastAsia="Times New Roman" w:hAnsi="Verdana" w:cs="Times New Roman"/>
          <w:color w:val="333333"/>
          <w:sz w:val="18"/>
          <w:szCs w:val="18"/>
          <w:lang w:eastAsia="ru-RU"/>
        </w:rPr>
        <w:br/>
        <w:t>Диаметр заготовок сырья в круглом виде устанавливается от 5 до 15 см. Сырье заготовки диаметром более 15 см подлежит расколке на части, наибольшая линия раскола по торцу которого не должна превышать 15 см.</w:t>
      </w:r>
      <w:r w:rsidRPr="00A4614F">
        <w:rPr>
          <w:rFonts w:ascii="Verdana" w:eastAsia="Times New Roman" w:hAnsi="Verdana" w:cs="Times New Roman"/>
          <w:color w:val="333333"/>
          <w:sz w:val="18"/>
          <w:szCs w:val="18"/>
          <w:lang w:eastAsia="ru-RU"/>
        </w:rPr>
        <w:br/>
        <w:t>2.6. В технологическом сырье допускаются пороки древесины (по ГОСТ 2140–71), в том числе гниль внутренняя заболонная мягкая и наружная трухлявая, если она занимает не более 5% площади торца дровяного сырья или 5% общего объема партии. Гниль превышающую указанные количества, необходимо удалить.</w:t>
      </w:r>
      <w:r w:rsidRPr="00A4614F">
        <w:rPr>
          <w:rFonts w:ascii="Verdana" w:eastAsia="Times New Roman" w:hAnsi="Verdana" w:cs="Times New Roman"/>
          <w:color w:val="333333"/>
          <w:sz w:val="18"/>
          <w:szCs w:val="18"/>
          <w:lang w:eastAsia="ru-RU"/>
        </w:rPr>
        <w:br/>
        <w:t>2.7. Дрова и кусковые отходы укладывают, принимают и учитывают в соответствии с ГОСТ 3243–46 (с изм. № 2). Древесное технологическое сырье в круглом виде хранится  в соответствии с ГОСТ 9014.0–75 (с изм. № 1).</w:t>
      </w:r>
      <w:r w:rsidRPr="00A4614F">
        <w:rPr>
          <w:rFonts w:ascii="Verdana" w:eastAsia="Times New Roman" w:hAnsi="Verdana" w:cs="Times New Roman"/>
          <w:color w:val="333333"/>
          <w:sz w:val="18"/>
          <w:szCs w:val="18"/>
          <w:lang w:eastAsia="ru-RU"/>
        </w:rPr>
        <w:br/>
        <w:t>2.8. Кусковые отходы древесины должны измельчаться в щепу и выдерживаться в кучах под навесом не менее месяца при положительной температуре.</w:t>
      </w:r>
      <w:r w:rsidRPr="00A4614F">
        <w:rPr>
          <w:rFonts w:ascii="Verdana" w:eastAsia="Times New Roman" w:hAnsi="Verdana" w:cs="Times New Roman"/>
          <w:color w:val="333333"/>
          <w:sz w:val="18"/>
          <w:szCs w:val="18"/>
          <w:lang w:eastAsia="ru-RU"/>
        </w:rPr>
        <w:br/>
        <w:t>Применение свеже срубленной древесины всех пород для производства арболита допускается при соблюдении требований п. 2.12.</w:t>
      </w:r>
      <w:r w:rsidRPr="00A4614F">
        <w:rPr>
          <w:rFonts w:ascii="Verdana" w:eastAsia="Times New Roman" w:hAnsi="Verdana" w:cs="Times New Roman"/>
          <w:color w:val="333333"/>
          <w:sz w:val="18"/>
          <w:szCs w:val="18"/>
          <w:lang w:eastAsia="ru-RU"/>
        </w:rPr>
        <w:br/>
        <w:t>2.9.  Выдержанные отходы древесины превращают в щепу на рубильных машинах, а затем измельчают в дробленку на молотковых мельницах, дробилках или стружечных станках.</w:t>
      </w:r>
      <w:r w:rsidRPr="00A4614F">
        <w:rPr>
          <w:rFonts w:ascii="Verdana" w:eastAsia="Times New Roman" w:hAnsi="Verdana" w:cs="Times New Roman"/>
          <w:color w:val="333333"/>
          <w:sz w:val="18"/>
          <w:szCs w:val="18"/>
          <w:lang w:eastAsia="ru-RU"/>
        </w:rPr>
        <w:br/>
        <w:t>2.10. При дроблении и рассеве необходимо применять древесину равновесной относительной влажности не более 30%, при влажности выше этого предела нарушается нормальная работа дробилок, сит и грохотов.</w:t>
      </w:r>
      <w:r w:rsidRPr="00A4614F">
        <w:rPr>
          <w:rFonts w:ascii="Verdana" w:eastAsia="Times New Roman" w:hAnsi="Verdana" w:cs="Times New Roman"/>
          <w:color w:val="333333"/>
          <w:sz w:val="18"/>
          <w:szCs w:val="18"/>
          <w:lang w:eastAsia="ru-RU"/>
        </w:rPr>
        <w:br/>
        <w:t>2.11. Технологическая щепа при постановке по размерам частиц и показателям засоренности должна соответствовать требованиям ГОСТ 15815–70, предъявляемым к щепе, используемой для производства древесно-волокнистых плит.</w:t>
      </w:r>
      <w:r w:rsidRPr="00A4614F">
        <w:rPr>
          <w:rFonts w:ascii="Verdana" w:eastAsia="Times New Roman" w:hAnsi="Verdana" w:cs="Times New Roman"/>
          <w:color w:val="333333"/>
          <w:sz w:val="18"/>
          <w:szCs w:val="18"/>
          <w:lang w:eastAsia="ru-RU"/>
        </w:rPr>
        <w:br/>
        <w:t>2.12. Дробленка должна удовлетворять требованиям ГОСТ 19222–73, а также следующим требованиям:</w:t>
      </w:r>
      <w:r w:rsidRPr="00A4614F">
        <w:rPr>
          <w:rFonts w:ascii="Verdana" w:eastAsia="Times New Roman" w:hAnsi="Verdana" w:cs="Times New Roman"/>
          <w:color w:val="333333"/>
          <w:sz w:val="18"/>
          <w:szCs w:val="18"/>
          <w:lang w:eastAsia="ru-RU"/>
        </w:rPr>
        <w:br/>
        <w:t>показатель пригодности (удельный расход цемента на единицу прочности арболита при сжатии) должен быть не более 15;</w:t>
      </w:r>
      <w:r w:rsidRPr="00A4614F">
        <w:rPr>
          <w:rFonts w:ascii="Verdana" w:eastAsia="Times New Roman" w:hAnsi="Verdana" w:cs="Times New Roman"/>
          <w:color w:val="333333"/>
          <w:sz w:val="18"/>
          <w:szCs w:val="18"/>
          <w:lang w:eastAsia="ru-RU"/>
        </w:rPr>
        <w:br/>
        <w:t>содержание водо-растворимых редуцирующих веществ должно быть не более 2%.</w:t>
      </w:r>
      <w:r w:rsidRPr="00A4614F">
        <w:rPr>
          <w:rFonts w:ascii="Verdana" w:eastAsia="Times New Roman" w:hAnsi="Verdana" w:cs="Times New Roman"/>
          <w:color w:val="333333"/>
          <w:sz w:val="18"/>
          <w:szCs w:val="18"/>
          <w:lang w:eastAsia="ru-RU"/>
        </w:rPr>
        <w:br/>
        <w:t>2.13. Химические добавки для арболитовой массы должны удовлетворять требованиям следующих стандартов:</w:t>
      </w:r>
    </w:p>
    <w:tbl>
      <w:tblPr>
        <w:tblW w:w="6900" w:type="dxa"/>
        <w:tblCellSpacing w:w="0" w:type="dxa"/>
        <w:tblCellMar>
          <w:left w:w="0" w:type="dxa"/>
          <w:right w:w="0" w:type="dxa"/>
        </w:tblCellMar>
        <w:tblLook w:val="04A0"/>
      </w:tblPr>
      <w:tblGrid>
        <w:gridCol w:w="4064"/>
        <w:gridCol w:w="2836"/>
      </w:tblGrid>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хлорид кальция</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450–77;</w:t>
            </w:r>
          </w:p>
        </w:tc>
      </w:tr>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жидкое стекло</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13078–67;</w:t>
            </w:r>
          </w:p>
        </w:tc>
      </w:tr>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силикат-глыба</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13079–67;</w:t>
            </w:r>
          </w:p>
        </w:tc>
      </w:tr>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сернокислый глинозем</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5155–74;</w:t>
            </w:r>
          </w:p>
        </w:tc>
      </w:tr>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окись кальция (известь)</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9179–77.</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Допускается введение порообразующих добавок, используемых при производстве поризованных легких бетонов, а также других химических добавок, в том числе комплексных, после лабораторной проверки по согласованию с базовой организацией – НИИЖБ Госстроя СССР.</w:t>
      </w:r>
      <w:r w:rsidRPr="00A4614F">
        <w:rPr>
          <w:rFonts w:ascii="Verdana" w:eastAsia="Times New Roman" w:hAnsi="Verdana" w:cs="Times New Roman"/>
          <w:color w:val="333333"/>
          <w:sz w:val="18"/>
          <w:szCs w:val="18"/>
          <w:lang w:eastAsia="ru-RU"/>
        </w:rPr>
        <w:br/>
        <w:t>2.14. Химические добавки для арболитовой массы применяются в виде водных растворов требуемой плотности как в отдельности, так и в сочетании друг с другом. Плотность замеряется денсиметром.</w:t>
      </w:r>
      <w:r w:rsidRPr="00A4614F">
        <w:rPr>
          <w:rFonts w:ascii="Verdana" w:eastAsia="Times New Roman" w:hAnsi="Verdana" w:cs="Times New Roman"/>
          <w:color w:val="333333"/>
          <w:sz w:val="18"/>
          <w:szCs w:val="18"/>
          <w:lang w:eastAsia="ru-RU"/>
        </w:rPr>
        <w:br/>
        <w:t>2.15. Жидкое стекло должно иметь модуль от 2,4 до 3. Модуль жидкого стекла определяется по ГОСТ 13078–67. Для быстрой предварительной оценки модуля жидкого стекла может быть применен полевой способ согласно Инструкции по технологии приготовления жаростойкого бетона.</w:t>
      </w:r>
      <w:r w:rsidRPr="00A4614F">
        <w:rPr>
          <w:rFonts w:ascii="Verdana" w:eastAsia="Times New Roman" w:hAnsi="Verdana" w:cs="Times New Roman"/>
          <w:color w:val="333333"/>
          <w:sz w:val="18"/>
          <w:szCs w:val="18"/>
          <w:lang w:eastAsia="ru-RU"/>
        </w:rPr>
        <w:br/>
        <w:t>2.16. Вода для затворения арболитовых смесей и бетона (раствора) отделочных слоев должна удовлетворять требованиям ГОСТ 23732–79.</w:t>
      </w:r>
      <w:r w:rsidRPr="00A4614F">
        <w:rPr>
          <w:rFonts w:ascii="Verdana" w:eastAsia="Times New Roman" w:hAnsi="Verdana" w:cs="Times New Roman"/>
          <w:color w:val="333333"/>
          <w:sz w:val="18"/>
          <w:szCs w:val="18"/>
          <w:lang w:eastAsia="ru-RU"/>
        </w:rPr>
        <w:br/>
        <w:t xml:space="preserve">2.17. Для армирования конструкций из арболита должна применяться арматура классов А-I, А-II и А-III диаметром не более 16 мм и проволочная арматура класса Вр-I. Арматурные изделия и </w:t>
      </w:r>
      <w:r w:rsidRPr="00A4614F">
        <w:rPr>
          <w:rFonts w:ascii="Verdana" w:eastAsia="Times New Roman" w:hAnsi="Verdana" w:cs="Times New Roman"/>
          <w:color w:val="333333"/>
          <w:sz w:val="18"/>
          <w:szCs w:val="18"/>
          <w:lang w:eastAsia="ru-RU"/>
        </w:rPr>
        <w:lastRenderedPageBreak/>
        <w:t>закладные металлические детали должны удовлетворять требованиям ГОСТ 19222–73 и ГОСТ 10922–75, а также дополнительным указаниям, приведенным в рабочих чертежах конструкций. Арматура должна иметь заводской сертификат с указанием марки стали. Применение арматурных изделий и закладных металлических деталей со следами ржавчины, грязи и масла не допускается.</w:t>
      </w:r>
      <w:r w:rsidRPr="00A4614F">
        <w:rPr>
          <w:rFonts w:ascii="Verdana" w:eastAsia="Times New Roman" w:hAnsi="Verdana" w:cs="Times New Roman"/>
          <w:color w:val="333333"/>
          <w:sz w:val="18"/>
          <w:szCs w:val="18"/>
          <w:lang w:eastAsia="ru-RU"/>
        </w:rPr>
        <w:br/>
        <w:t>2.18. Заполнители для бетона (раствора) наружных и внутренних отделочных слоев конструкций из арболита должны соответствовать требованиям:</w:t>
      </w:r>
    </w:p>
    <w:tbl>
      <w:tblPr>
        <w:tblW w:w="5000" w:type="pct"/>
        <w:tblCellSpacing w:w="0" w:type="dxa"/>
        <w:tblCellMar>
          <w:left w:w="0" w:type="dxa"/>
          <w:right w:w="0" w:type="dxa"/>
        </w:tblCellMar>
        <w:tblLook w:val="04A0"/>
      </w:tblPr>
      <w:tblGrid>
        <w:gridCol w:w="6050"/>
        <w:gridCol w:w="3305"/>
      </w:tblGrid>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плотный песок</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8736–77;</w:t>
            </w:r>
          </w:p>
        </w:tc>
      </w:tr>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плотный щебень или гравий</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8267–75 и ГОСТ 8268–82;</w:t>
            </w:r>
          </w:p>
        </w:tc>
      </w:tr>
      <w:tr w:rsidR="00A4614F" w:rsidRPr="00A4614F" w:rsidTr="00A4614F">
        <w:trPr>
          <w:tblCellSpacing w:w="0" w:type="dxa"/>
        </w:trPr>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неорганические (пористые мелкий и крупный заполнители)</w:t>
            </w:r>
          </w:p>
        </w:tc>
        <w:tc>
          <w:tcPr>
            <w:tcW w:w="0" w:type="auto"/>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ГОСТ 9757–73.</w:t>
            </w:r>
          </w:p>
        </w:tc>
      </w:tr>
    </w:tbl>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Предельная крупность щебня или гравия принимается 20 мм при толщине бетонного слоя более 30 мм и 10 мм при толщине бетонного слоя до 30 мм.</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3. Проектирование конструкций из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3.1.</w:t>
      </w:r>
      <w:r w:rsidRPr="00A4614F">
        <w:rPr>
          <w:rFonts w:ascii="Verdana" w:eastAsia="Times New Roman" w:hAnsi="Verdana" w:cs="Times New Roman"/>
          <w:color w:val="333333"/>
          <w:sz w:val="18"/>
          <w:lang w:eastAsia="ru-RU"/>
        </w:rPr>
        <w:t> </w:t>
      </w:r>
      <w:hyperlink r:id="rId4" w:history="1">
        <w:r w:rsidRPr="00A4614F">
          <w:rPr>
            <w:rFonts w:ascii="Verdana" w:eastAsia="Times New Roman" w:hAnsi="Verdana" w:cs="Times New Roman"/>
            <w:color w:val="000000"/>
            <w:sz w:val="18"/>
            <w:lang w:eastAsia="ru-RU"/>
          </w:rPr>
          <w:t>Стеновые блоки</w:t>
        </w:r>
      </w:hyperlink>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 панели из арболита, как правило, должны выполняться однослойными с наружным отделочным слоем из декоративного бетона или раствора на плотных минеральных заполнителях,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в</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Минимальная толщина однослойных элементов из арболита должна определяться расчетом и во всех случаях быть не менее 8 см.</w:t>
      </w:r>
      <w:r w:rsidRPr="00A4614F">
        <w:rPr>
          <w:rFonts w:ascii="Verdana" w:eastAsia="Times New Roman" w:hAnsi="Verdana" w:cs="Times New Roman"/>
          <w:color w:val="333333"/>
          <w:sz w:val="18"/>
          <w:szCs w:val="18"/>
          <w:lang w:eastAsia="ru-RU"/>
        </w:rPr>
        <w:br/>
        <w:t>Размеры сечений сжатых элементов стен принимаются такими, чтобы отношение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не превышало значений, указанных в табл. 5.</w:t>
      </w:r>
      <w:r w:rsidRPr="00A4614F">
        <w:rPr>
          <w:rFonts w:ascii="Verdana" w:eastAsia="Times New Roman" w:hAnsi="Verdana" w:cs="Times New Roman"/>
          <w:color w:val="333333"/>
          <w:sz w:val="18"/>
          <w:szCs w:val="18"/>
          <w:lang w:eastAsia="ru-RU"/>
        </w:rPr>
        <w:br/>
        <w:t>3.2.</w:t>
      </w:r>
      <w:r w:rsidRPr="00A4614F">
        <w:rPr>
          <w:rFonts w:ascii="Verdana" w:eastAsia="Times New Roman" w:hAnsi="Verdana" w:cs="Times New Roman"/>
          <w:color w:val="333333"/>
          <w:sz w:val="18"/>
          <w:lang w:eastAsia="ru-RU"/>
        </w:rPr>
        <w:t> </w:t>
      </w:r>
      <w:hyperlink r:id="rId5" w:history="1">
        <w:r w:rsidRPr="00A4614F">
          <w:rPr>
            <w:rFonts w:ascii="Verdana" w:eastAsia="Times New Roman" w:hAnsi="Verdana" w:cs="Times New Roman"/>
            <w:color w:val="000000"/>
            <w:sz w:val="18"/>
            <w:lang w:eastAsia="ru-RU"/>
          </w:rPr>
          <w:t>Стеновые блоки</w:t>
        </w:r>
      </w:hyperlink>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 панели из арболита для повышения их несущей способности могут проектироваться слоистыми,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а</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Блоки перемычки (при блочной разрезке стен) или стеновые панели-перемычки, на которые опираются перекрытия, должны проектироваться слоистыми, рис. 1, б.</w:t>
      </w:r>
      <w:r w:rsidRPr="00A4614F">
        <w:rPr>
          <w:rFonts w:ascii="Verdana" w:eastAsia="Times New Roman" w:hAnsi="Verdana" w:cs="Times New Roman"/>
          <w:color w:val="333333"/>
          <w:sz w:val="18"/>
          <w:szCs w:val="18"/>
          <w:lang w:eastAsia="ru-RU"/>
        </w:rPr>
        <w:br/>
        <w:t>В слоистых блоках и панелях слои должны выполняться из бетона цементного на плотных или пористых заполнителях классов по прочности на сжатие В15–В25.</w:t>
      </w:r>
      <w:r w:rsidRPr="00A4614F">
        <w:rPr>
          <w:rFonts w:ascii="Verdana" w:eastAsia="Times New Roman" w:hAnsi="Verdana" w:cs="Times New Roman"/>
          <w:color w:val="333333"/>
          <w:sz w:val="18"/>
          <w:szCs w:val="18"/>
          <w:lang w:eastAsia="ru-RU"/>
        </w:rPr>
        <w:br/>
        <w:t>Рабочая арматура в слоистых блоках и панелях должна выполняться в виде сварных сеток или каркасов из стали класса Вр-1 и располагаться в бетонных слоях.</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drawing>
          <wp:inline distT="0" distB="0" distL="0" distR="0">
            <wp:extent cx="3981450" cy="2276475"/>
            <wp:effectExtent l="0" t="0" r="0" b="0"/>
            <wp:docPr id="1" name="Рисунок 1" descr="СНИП Арболит (деревоб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П Арболит (деревобетон)"/>
                    <pic:cNvPicPr>
                      <a:picLocks noChangeAspect="1" noChangeArrowheads="1"/>
                    </pic:cNvPicPr>
                  </pic:nvPicPr>
                  <pic:blipFill>
                    <a:blip r:embed="rId6"/>
                    <a:srcRect/>
                    <a:stretch>
                      <a:fillRect/>
                    </a:stretch>
                  </pic:blipFill>
                  <pic:spPr bwMode="auto">
                    <a:xfrm>
                      <a:off x="0" y="0"/>
                      <a:ext cx="3981450" cy="2276475"/>
                    </a:xfrm>
                    <a:prstGeom prst="rect">
                      <a:avLst/>
                    </a:prstGeom>
                    <a:noFill/>
                    <a:ln w="9525">
                      <a:noFill/>
                      <a:miter lim="800000"/>
                      <a:headEnd/>
                      <a:tailEnd/>
                    </a:ln>
                  </pic:spPr>
                </pic:pic>
              </a:graphicData>
            </a:graphic>
          </wp:inline>
        </w:drawing>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3.3. Панели-перегородки зданий из арболита, как правило, должны проектироваться однослойными. Для повышения их несущей способности (при воздействии на них транспортных и монтажных нагрузок) они должны проектироваться с боковыми железобетонными гранями из тяжелого или мелкозернистого бетона класса по прочности на сжатие В15–В25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г</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3.4. Для плит покрытий и перекрытий арболит применяется в сочетании с тяжелым, легким или мелкозернистым бетоном класса по прочности на сжатие В15-В25, в котором должна располагаться рабочая арматура.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Конструктивные решения таких элементов приведены на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з</w:t>
      </w:r>
      <w:r w:rsidRPr="00A4614F">
        <w:rPr>
          <w:rFonts w:ascii="Verdana" w:eastAsia="Times New Roman" w:hAnsi="Verdana" w:cs="Times New Roman"/>
          <w:color w:val="333333"/>
          <w:sz w:val="18"/>
          <w:szCs w:val="18"/>
          <w:lang w:eastAsia="ru-RU"/>
        </w:rPr>
        <w:t>. Толщина защитного слоя бетона в конструкциях составного сечения должна приниматься в соответствии с нормами проектирования бетонных и железобетонных конструкций.</w:t>
      </w:r>
      <w:r w:rsidRPr="00A4614F">
        <w:rPr>
          <w:rFonts w:ascii="Verdana" w:eastAsia="Times New Roman" w:hAnsi="Verdana" w:cs="Times New Roman"/>
          <w:color w:val="333333"/>
          <w:sz w:val="18"/>
          <w:szCs w:val="18"/>
          <w:lang w:eastAsia="ru-RU"/>
        </w:rPr>
        <w:br/>
        <w:t>3.5. В конструкциях плит покрытий и перекрытий во всех случаях в сжатой зоне должен предусматриваться слой толщиной не менее 20 мм из тяжелого, легкого или мелкозернистого бетона.</w:t>
      </w:r>
      <w:r w:rsidRPr="00A4614F">
        <w:rPr>
          <w:rFonts w:ascii="Verdana" w:eastAsia="Times New Roman" w:hAnsi="Verdana" w:cs="Times New Roman"/>
          <w:color w:val="333333"/>
          <w:sz w:val="18"/>
          <w:szCs w:val="18"/>
          <w:lang w:eastAsia="ru-RU"/>
        </w:rPr>
        <w:br/>
        <w:t>Класс арболита по прочности на сжатие принимается в пределах В1,5–В3,5 в зависимости от типа конструкций.</w:t>
      </w:r>
      <w:r w:rsidRPr="00A4614F">
        <w:rPr>
          <w:rFonts w:ascii="Verdana" w:eastAsia="Times New Roman" w:hAnsi="Verdana" w:cs="Times New Roman"/>
          <w:color w:val="333333"/>
          <w:sz w:val="18"/>
          <w:szCs w:val="18"/>
          <w:lang w:eastAsia="ru-RU"/>
        </w:rPr>
        <w:br/>
        <w:t>3.6. Плиты перекрытий зданий, как правило, должны проектироваться в виде трехслойных элементов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Толщину нижнего железобетонного слоя следует принимать из условия расположения в нем арматуры с обеспечением необходимых защитных слоев. Толщина верхнего бетонного слоя должна назначаться исходя из расчета на прочность плит (см. п. 3.39).</w:t>
      </w:r>
      <w:r w:rsidRPr="00A4614F">
        <w:rPr>
          <w:rFonts w:ascii="Verdana" w:eastAsia="Times New Roman" w:hAnsi="Verdana" w:cs="Times New Roman"/>
          <w:color w:val="333333"/>
          <w:sz w:val="18"/>
          <w:szCs w:val="18"/>
          <w:lang w:eastAsia="ru-RU"/>
        </w:rPr>
        <w:br/>
        <w:t>Класс арболита по прочности на сжатие для таких плит должен приниматься не менее В2.</w:t>
      </w:r>
      <w:r w:rsidRPr="00A4614F">
        <w:rPr>
          <w:rFonts w:ascii="Verdana" w:eastAsia="Times New Roman" w:hAnsi="Verdana" w:cs="Times New Roman"/>
          <w:color w:val="333333"/>
          <w:sz w:val="18"/>
          <w:szCs w:val="18"/>
          <w:lang w:eastAsia="ru-RU"/>
        </w:rPr>
        <w:br/>
        <w:t>В случае если совместная работа слоя в трехслойных конструкциях перекрытий не обеспечивается (см. п. 3.40), плиты перекрытий должны проектироваться с боковыми несущими гранями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е</w:t>
      </w:r>
      <w:r w:rsidRPr="00A4614F">
        <w:rPr>
          <w:rFonts w:ascii="Verdana" w:eastAsia="Times New Roman" w:hAnsi="Verdana" w:cs="Times New Roman"/>
          <w:color w:val="333333"/>
          <w:sz w:val="18"/>
          <w:szCs w:val="18"/>
          <w:lang w:eastAsia="ru-RU"/>
        </w:rPr>
        <w:t>). Ширина боковых граней принимается из условий размещения рабочей арматуры в бетоне с обеспечением необходимых защитных слоев при изготовлении элементов.</w:t>
      </w:r>
      <w:r w:rsidRPr="00A4614F">
        <w:rPr>
          <w:rFonts w:ascii="Verdana" w:eastAsia="Times New Roman" w:hAnsi="Verdana" w:cs="Times New Roman"/>
          <w:color w:val="333333"/>
          <w:sz w:val="18"/>
          <w:szCs w:val="18"/>
          <w:lang w:eastAsia="ru-RU"/>
        </w:rPr>
        <w:br/>
        <w:t>Допускается рабочую арматуру в плитах перекрытий располагать в бетонных брусках или вкладышах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ж</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Примечание: Плиты перекрытий с боковыми несущими гранями, а также панели-перегородки с железобетонными гранями (п. 3.3) допускается изготовлять в следующем порядке. В подготовленную форму к продольным ребрам закрепляются съемные инвентарные вкладыши на всю длину элемента. После укладки и уплотнения арболита борта форму закрывают, вкладыши удаляются и борта вновь закрывают. В образовавшиеся продольные пазы укладывают арматурные каркасы и пазы заполняют бетонной смесью.</w:t>
      </w:r>
      <w:r w:rsidRPr="00A4614F">
        <w:rPr>
          <w:rFonts w:ascii="Verdana" w:eastAsia="Times New Roman" w:hAnsi="Verdana" w:cs="Times New Roman"/>
          <w:color w:val="333333"/>
          <w:sz w:val="18"/>
          <w:szCs w:val="18"/>
          <w:lang w:eastAsia="ru-RU"/>
        </w:rPr>
        <w:br/>
        <w:t>3.7. Плиты покрытий зданий следует проектировать ребристыми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з</w:t>
      </w:r>
      <w:r w:rsidRPr="00A4614F">
        <w:rPr>
          <w:rFonts w:ascii="Verdana" w:eastAsia="Times New Roman" w:hAnsi="Verdana" w:cs="Times New Roman"/>
          <w:color w:val="333333"/>
          <w:sz w:val="18"/>
          <w:szCs w:val="18"/>
          <w:lang w:eastAsia="ru-RU"/>
        </w:rPr>
        <w:t>). Толщина арболитового слоя в таких плитах назначается исходя из теплотехнического расчета. Высота ребер назначается из условия обеспечения достаточной жесткости плит. Арматура в верхнем слое не предусматривается.</w:t>
      </w:r>
      <w:r w:rsidRPr="00A4614F">
        <w:rPr>
          <w:rFonts w:ascii="Verdana" w:eastAsia="Times New Roman" w:hAnsi="Verdana" w:cs="Times New Roman"/>
          <w:color w:val="333333"/>
          <w:sz w:val="18"/>
          <w:szCs w:val="18"/>
          <w:lang w:eastAsia="ru-RU"/>
        </w:rPr>
        <w:br/>
        <w:t>3.8. Монтажные (подъемные) петли для всех видов конструкций из арболита следует выполнять в соответствии с действующим ГОСТ на легкобетонные изделия.</w:t>
      </w:r>
      <w:r w:rsidRPr="00A4614F">
        <w:rPr>
          <w:rFonts w:ascii="Verdana" w:eastAsia="Times New Roman" w:hAnsi="Verdana" w:cs="Times New Roman"/>
          <w:color w:val="333333"/>
          <w:sz w:val="18"/>
          <w:szCs w:val="18"/>
          <w:lang w:eastAsia="ru-RU"/>
        </w:rPr>
        <w:br/>
        <w:t>В однослойные элементы подъемные петли закладывают на глубину не менее 50 диаметров стержня; при этом на концах заделываемые подъемные петли должны иметь крюки, заводимые за арматурные элементы (сетки) или приваренные стержни, пластины и т. д.</w:t>
      </w:r>
      <w:r w:rsidRPr="00A4614F">
        <w:rPr>
          <w:rFonts w:ascii="Verdana" w:eastAsia="Times New Roman" w:hAnsi="Verdana" w:cs="Times New Roman"/>
          <w:color w:val="333333"/>
          <w:sz w:val="18"/>
          <w:szCs w:val="18"/>
          <w:lang w:eastAsia="ru-RU"/>
        </w:rPr>
        <w:br/>
        <w:t>Подъемные петли в элементах составных сечений должны быть заанкерены в бетонных слоях или в бетонных несущих гранях и во всех случаях заведены за арматурные каркасы или сетки.</w:t>
      </w:r>
      <w:r w:rsidRPr="00A4614F">
        <w:rPr>
          <w:rFonts w:ascii="Verdana" w:eastAsia="Times New Roman" w:hAnsi="Verdana" w:cs="Times New Roman"/>
          <w:color w:val="333333"/>
          <w:sz w:val="18"/>
          <w:szCs w:val="18"/>
          <w:lang w:eastAsia="ru-RU"/>
        </w:rPr>
        <w:br/>
        <w:t>Стальные закладные изделия, анкерные стержни и арматурные каркасы, а также соединительные накладки, применяемые для соединения конструкций из арболита, должны быть защищены от коррозии в соответствии с Инструкцией по изготовлению изделий из ячеистого бетона.</w:t>
      </w:r>
      <w:r w:rsidRPr="00A4614F">
        <w:rPr>
          <w:rFonts w:ascii="Verdana" w:eastAsia="Times New Roman" w:hAnsi="Verdana" w:cs="Times New Roman"/>
          <w:color w:val="333333"/>
          <w:sz w:val="18"/>
          <w:szCs w:val="18"/>
          <w:lang w:eastAsia="ru-RU"/>
        </w:rPr>
        <w:br/>
        <w:t>Нормативные и расчетные характеристики арболита</w:t>
      </w:r>
      <w:r w:rsidRPr="00A4614F">
        <w:rPr>
          <w:rFonts w:ascii="Verdana" w:eastAsia="Times New Roman" w:hAnsi="Verdana" w:cs="Times New Roman"/>
          <w:color w:val="333333"/>
          <w:sz w:val="18"/>
          <w:szCs w:val="18"/>
          <w:lang w:eastAsia="ru-RU"/>
        </w:rPr>
        <w:br/>
        <w:t>3.9. Класс арболита по прочности при сжатии (В) представляет собой гарантированную прочность арболита.</w:t>
      </w:r>
      <w:r w:rsidRPr="00A4614F">
        <w:rPr>
          <w:rFonts w:ascii="Verdana" w:eastAsia="Times New Roman" w:hAnsi="Verdana" w:cs="Times New Roman"/>
          <w:color w:val="333333"/>
          <w:sz w:val="18"/>
          <w:szCs w:val="18"/>
          <w:lang w:eastAsia="ru-RU"/>
        </w:rPr>
        <w:br/>
        <w:t>Средняя фактическая прочность арболита на сжатие, МПа, соответствующая его классу, назначается равной</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R</w:t>
      </w:r>
      <w:r w:rsidRPr="00A4614F">
        <w:rPr>
          <w:rFonts w:ascii="Verdana" w:eastAsia="Times New Roman" w:hAnsi="Verdana" w:cs="Times New Roman"/>
          <w:color w:val="333333"/>
          <w:sz w:val="18"/>
          <w:szCs w:val="18"/>
          <w:lang w:eastAsia="ru-RU"/>
        </w:rPr>
        <w:t>cж = 1,43В                                                                                                  (1)</w:t>
      </w:r>
      <w:r w:rsidRPr="00A4614F">
        <w:rPr>
          <w:rFonts w:ascii="Verdana" w:eastAsia="Times New Roman" w:hAnsi="Verdana" w:cs="Times New Roman"/>
          <w:color w:val="333333"/>
          <w:sz w:val="18"/>
          <w:szCs w:val="18"/>
          <w:lang w:eastAsia="ru-RU"/>
        </w:rPr>
        <w:br/>
        <w:t>и контролируется по действующим государственным стандартам на образцах 150*150*150 мм.</w:t>
      </w:r>
      <w:r w:rsidRPr="00A4614F">
        <w:rPr>
          <w:rFonts w:ascii="Verdana" w:eastAsia="Times New Roman" w:hAnsi="Verdana" w:cs="Times New Roman"/>
          <w:color w:val="333333"/>
          <w:sz w:val="18"/>
          <w:szCs w:val="18"/>
          <w:lang w:eastAsia="ru-RU"/>
        </w:rPr>
        <w:br/>
        <w:t>3.10. Для конструкций из арболита предусматриваются следующие классы арболита по прочности на сжатие:</w:t>
      </w:r>
      <w:r w:rsidRPr="00A4614F">
        <w:rPr>
          <w:rFonts w:ascii="Verdana" w:eastAsia="Times New Roman" w:hAnsi="Verdana" w:cs="Times New Roman"/>
          <w:color w:val="333333"/>
          <w:sz w:val="18"/>
          <w:szCs w:val="18"/>
          <w:lang w:eastAsia="ru-RU"/>
        </w:rPr>
        <w:br/>
        <w:t>В0,5; В7,75; – для теплоизоляционных;</w:t>
      </w:r>
      <w:r w:rsidRPr="00A4614F">
        <w:rPr>
          <w:rFonts w:ascii="Verdana" w:eastAsia="Times New Roman" w:hAnsi="Verdana" w:cs="Times New Roman"/>
          <w:color w:val="333333"/>
          <w:sz w:val="18"/>
          <w:szCs w:val="18"/>
          <w:lang w:eastAsia="ru-RU"/>
        </w:rPr>
        <w:br/>
        <w:t>В1; В1,5; В2; В2,5; В3 и В3,5 – для конструкционных.</w:t>
      </w:r>
      <w:r w:rsidRPr="00A4614F">
        <w:rPr>
          <w:rFonts w:ascii="Verdana" w:eastAsia="Times New Roman" w:hAnsi="Verdana" w:cs="Times New Roman"/>
          <w:color w:val="333333"/>
          <w:sz w:val="18"/>
          <w:szCs w:val="18"/>
          <w:lang w:eastAsia="ru-RU"/>
        </w:rPr>
        <w:br/>
        <w:t>3.11. Нормативными сопротивлениями арболита являются:</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сопротивление осевому сжатию призм (призменная прочность),</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Rbk</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сопротивление осевому растяжению,</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Rbtk</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3.12. Нормативная призменная прочность арболита при его средней естественной влажности по массе 15–20 % принимается равной</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Rbk </w:t>
      </w:r>
      <w:r w:rsidRPr="00A4614F">
        <w:rPr>
          <w:rFonts w:ascii="Verdana" w:eastAsia="Times New Roman" w:hAnsi="Verdana" w:cs="Times New Roman"/>
          <w:color w:val="333333"/>
          <w:sz w:val="18"/>
          <w:szCs w:val="18"/>
          <w:lang w:eastAsia="ru-RU"/>
        </w:rPr>
        <w:t>= 0,78В                                                                                                   (2)</w:t>
      </w:r>
      <w:r w:rsidRPr="00A4614F">
        <w:rPr>
          <w:rFonts w:ascii="Verdana" w:eastAsia="Times New Roman" w:hAnsi="Verdana" w:cs="Times New Roman"/>
          <w:color w:val="333333"/>
          <w:sz w:val="18"/>
          <w:szCs w:val="18"/>
          <w:lang w:eastAsia="ru-RU"/>
        </w:rPr>
        <w:br/>
        <w:t>Нормативные сопротивления арболита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Rbk</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(с округлением) в зависимости от класса арболита по прочности на сжатие при средней естественной влажности по массе 15-20 % даны в табл. 1.</w:t>
      </w:r>
      <w:r w:rsidRPr="00A4614F">
        <w:rPr>
          <w:rFonts w:ascii="Verdana" w:eastAsia="Times New Roman" w:hAnsi="Verdana" w:cs="Times New Roman"/>
          <w:color w:val="333333"/>
          <w:sz w:val="18"/>
          <w:szCs w:val="18"/>
          <w:lang w:eastAsia="ru-RU"/>
        </w:rPr>
        <w:br/>
        <w:t>3.13. Нормативное сопротивление арболита осевому растяжению</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Rbtk</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принимается в зависимости от класса арболита по прочности на сжатие согласно табл. 1.</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4"/>
        <w:gridCol w:w="1423"/>
        <w:gridCol w:w="768"/>
        <w:gridCol w:w="768"/>
        <w:gridCol w:w="768"/>
        <w:gridCol w:w="768"/>
        <w:gridCol w:w="768"/>
        <w:gridCol w:w="768"/>
        <w:gridCol w:w="768"/>
        <w:gridCol w:w="790"/>
      </w:tblGrid>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Вид</w:t>
            </w:r>
            <w:r w:rsidRPr="00A4614F">
              <w:rPr>
                <w:rFonts w:ascii="Times New Roman" w:eastAsia="Times New Roman" w:hAnsi="Times New Roman" w:cs="Times New Roman"/>
                <w:sz w:val="18"/>
                <w:szCs w:val="18"/>
                <w:lang w:eastAsia="ru-RU"/>
              </w:rPr>
              <w:br/>
              <w:t>сопротивления</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Обозначение</w:t>
            </w:r>
          </w:p>
        </w:tc>
        <w:tc>
          <w:tcPr>
            <w:tcW w:w="0" w:type="auto"/>
            <w:gridSpan w:val="8"/>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Нормативные сопротивления арболита</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Rbk</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Rbtk</w:t>
            </w:r>
            <w:r w:rsidRPr="00A4614F">
              <w:rPr>
                <w:rFonts w:ascii="Times New Roman" w:eastAsia="Times New Roman" w:hAnsi="Times New Roman" w:cs="Times New Roman"/>
                <w:sz w:val="18"/>
                <w:szCs w:val="18"/>
                <w:lang w:eastAsia="ru-RU"/>
              </w:rPr>
              <w:t>, расчетные сопротивления предельных состояний второй группы</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Rbk,ser</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Rbtk,ser</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при классе арболита по прочности на сжатие</w:t>
            </w:r>
          </w:p>
        </w:tc>
      </w:tr>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В0,75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В3,5</w:t>
            </w:r>
          </w:p>
        </w:tc>
      </w:tr>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Сжатие осевое (призменная прочность)</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i/>
                <w:iCs/>
                <w:sz w:val="24"/>
                <w:szCs w:val="24"/>
                <w:lang w:eastAsia="ru-RU"/>
              </w:rPr>
              <w:t>Rbk</w:t>
            </w:r>
            <w:r w:rsidRPr="00A4614F">
              <w:rPr>
                <w:rFonts w:ascii="Times New Roman" w:eastAsia="Times New Roman" w:hAnsi="Times New Roman" w:cs="Times New Roman"/>
                <w:sz w:val="24"/>
                <w:szCs w:val="24"/>
                <w:lang w:eastAsia="ru-RU"/>
              </w:rPr>
              <w:t> и </w:t>
            </w:r>
            <w:r w:rsidRPr="00A4614F">
              <w:rPr>
                <w:rFonts w:ascii="Times New Roman" w:eastAsia="Times New Roman" w:hAnsi="Times New Roman" w:cs="Times New Roman"/>
                <w:i/>
                <w:iCs/>
                <w:sz w:val="24"/>
                <w:szCs w:val="24"/>
                <w:lang w:eastAsia="ru-RU"/>
              </w:rPr>
              <w:t>Rbk,ser</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0,39</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4</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0,58</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5,92</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0,78</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7,95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1,17</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11,9</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1,56</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15,9</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1,95</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19,9</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2,33</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23,8</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2,73</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27,3</w:t>
            </w:r>
          </w:p>
        </w:tc>
      </w:tr>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Растяжение осевое</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i/>
                <w:iCs/>
                <w:sz w:val="18"/>
                <w:lang w:eastAsia="ru-RU"/>
              </w:rPr>
              <w:t>Rbtk</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и</w:t>
            </w:r>
            <w:r w:rsidRPr="00A4614F">
              <w:rPr>
                <w:rFonts w:ascii="Times New Roman" w:eastAsia="Times New Roman" w:hAnsi="Times New Roman" w:cs="Times New Roman"/>
                <w:i/>
                <w:iCs/>
                <w:sz w:val="18"/>
                <w:lang w:eastAsia="ru-RU"/>
              </w:rPr>
              <w:t>Rbtk,ser</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0,13</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1,33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0,2</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2,04</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0,25</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2,55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0,36</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3,67</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0,48</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4,9</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0,57</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5,82</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0,67</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6,8</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0,74</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7,5</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Примечание: Над чертой указаны значения в МПа, а под чертой – кгс/см2.</w:t>
      </w:r>
      <w:r w:rsidRPr="00A4614F">
        <w:rPr>
          <w:rFonts w:ascii="Verdana" w:eastAsia="Times New Roman" w:hAnsi="Verdana" w:cs="Times New Roman"/>
          <w:color w:val="333333"/>
          <w:sz w:val="18"/>
          <w:szCs w:val="18"/>
          <w:lang w:eastAsia="ru-RU"/>
        </w:rPr>
        <w:br/>
        <w:t>3.14. Расчетные сопротивления арболита при расчете по предельным состояниям первой группы определяются путем деления нормативных сопротивлений на соответствующие коэффициенты надежности по арболиту</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828800" cy="533400"/>
            <wp:effectExtent l="0" t="0" r="0" b="0"/>
            <wp:docPr id="2" name="Рисунок 2" descr="http://www.arbolit.net/images/snip/sni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bolit.net/images/snip/snip2.gif"/>
                    <pic:cNvPicPr>
                      <a:picLocks noChangeAspect="1" noChangeArrowheads="1"/>
                    </pic:cNvPicPr>
                  </pic:nvPicPr>
                  <pic:blipFill>
                    <a:blip r:embed="rId6"/>
                    <a:srcRect/>
                    <a:stretch>
                      <a:fillRect/>
                    </a:stretch>
                  </pic:blipFill>
                  <pic:spPr bwMode="auto">
                    <a:xfrm>
                      <a:off x="0" y="0"/>
                      <a:ext cx="1828800" cy="5334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(3)</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коэффициенты надежности по арболиту, приготовленному на древесной дробленке, при сжатии и растяжении соответственно принимаемые как для тяжелого бетона по главе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Расчетные сопротивления арболита на древесной дробленке приведены в табл. 2.</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3"/>
        <w:gridCol w:w="1077"/>
        <w:gridCol w:w="802"/>
        <w:gridCol w:w="849"/>
        <w:gridCol w:w="660"/>
        <w:gridCol w:w="754"/>
        <w:gridCol w:w="754"/>
        <w:gridCol w:w="754"/>
        <w:gridCol w:w="754"/>
        <w:gridCol w:w="776"/>
      </w:tblGrid>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Вид</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сопротивления</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Обозначение</w:t>
            </w:r>
          </w:p>
        </w:tc>
        <w:tc>
          <w:tcPr>
            <w:tcW w:w="0" w:type="auto"/>
            <w:gridSpan w:val="8"/>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Расчетные сопротивления арболита для предельных состояний первой группы</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Rbt</w:t>
            </w:r>
            <w:r w:rsidRPr="00A4614F">
              <w:rPr>
                <w:rFonts w:ascii="Times New Roman" w:eastAsia="Times New Roman" w:hAnsi="Times New Roman" w:cs="Times New Roman"/>
                <w:sz w:val="18"/>
                <w:szCs w:val="18"/>
                <w:lang w:eastAsia="ru-RU"/>
              </w:rPr>
              <w:t>, при классе арболита по прочности на сжатие</w:t>
            </w:r>
          </w:p>
        </w:tc>
      </w:tr>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В0,75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В3,5</w:t>
            </w:r>
          </w:p>
        </w:tc>
      </w:tr>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Сжатие осевое (призменная прочность)</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i/>
                <w:iCs/>
                <w:sz w:val="24"/>
                <w:szCs w:val="24"/>
                <w:lang w:eastAsia="ru-RU"/>
              </w:rPr>
              <w:t>Rb</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0,3</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3,06</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0,45</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4,6</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0,6</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6,1</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0,9</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9,18</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1,2</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12,2</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1,5</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15,3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1,8</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18,3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u w:val="single"/>
                <w:lang w:eastAsia="ru-RU"/>
              </w:rPr>
              <w:t>2,1</w:t>
            </w:r>
            <w:r w:rsidRPr="00A4614F">
              <w:rPr>
                <w:rFonts w:ascii="Times New Roman" w:eastAsia="Times New Roman" w:hAnsi="Times New Roman" w:cs="Times New Roman"/>
                <w:sz w:val="24"/>
                <w:szCs w:val="24"/>
                <w:lang w:eastAsia="ru-RU"/>
              </w:rPr>
              <w:t> </w:t>
            </w:r>
            <w:r w:rsidRPr="00A4614F">
              <w:rPr>
                <w:rFonts w:ascii="Times New Roman" w:eastAsia="Times New Roman" w:hAnsi="Times New Roman" w:cs="Times New Roman"/>
                <w:sz w:val="24"/>
                <w:szCs w:val="24"/>
                <w:lang w:eastAsia="ru-RU"/>
              </w:rPr>
              <w:br/>
              <w:t>21,4</w:t>
            </w:r>
          </w:p>
        </w:tc>
      </w:tr>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Растяжение осевое</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i/>
                <w:iCs/>
                <w:sz w:val="18"/>
                <w:lang w:eastAsia="ru-RU"/>
              </w:rPr>
              <w:t>Rbt</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0,087</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0,89</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0,13</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1,33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0,17</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1,73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0,24</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2,45</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0,32</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3,26</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0,38</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3,87</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0,44</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4,53</w:t>
            </w:r>
          </w:p>
        </w:tc>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0,57</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5,78</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Примечание: Над чертой указаны значения в МПа, а под чертой – кгс/см2.</w:t>
      </w:r>
      <w:r w:rsidRPr="00A4614F">
        <w:rPr>
          <w:rFonts w:ascii="Verdana" w:eastAsia="Times New Roman" w:hAnsi="Verdana" w:cs="Times New Roman"/>
          <w:color w:val="333333"/>
          <w:sz w:val="18"/>
          <w:szCs w:val="18"/>
          <w:lang w:eastAsia="ru-RU"/>
        </w:rPr>
        <w:br/>
        <w:t>В случаях, указанных в п. п. 3.15 расчетные сопротивления</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следует умножать на соответствующие коэффициенты условий работы арболита.</w:t>
      </w:r>
      <w:r w:rsidRPr="00A4614F">
        <w:rPr>
          <w:rFonts w:ascii="Verdana" w:eastAsia="Times New Roman" w:hAnsi="Verdana" w:cs="Times New Roman"/>
          <w:color w:val="333333"/>
          <w:sz w:val="18"/>
          <w:szCs w:val="18"/>
          <w:lang w:eastAsia="ru-RU"/>
        </w:rPr>
        <w:br/>
        <w:t>3.15. Для случаев, указанных ниже, при расчете конструкций расчетные сопротивления арболита, принимаемые по табл. 1 и 2, следует умножать на коэффициенты условий работы</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Ybi</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имеющие следующие значения:</w:t>
      </w:r>
      <w:r w:rsidRPr="00A4614F">
        <w:rPr>
          <w:rFonts w:ascii="Verdana" w:eastAsia="Times New Roman" w:hAnsi="Verdana" w:cs="Times New Roman"/>
          <w:color w:val="333333"/>
          <w:sz w:val="18"/>
          <w:szCs w:val="18"/>
          <w:lang w:eastAsia="ru-RU"/>
        </w:rPr>
        <w:br/>
        <w:t>для арболита, приготовленного методом вертикального прессования или трамбования,</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Ybi</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xml:space="preserve">= </w:t>
      </w:r>
      <w:r w:rsidRPr="00A4614F">
        <w:rPr>
          <w:rFonts w:ascii="Verdana" w:eastAsia="Times New Roman" w:hAnsi="Verdana" w:cs="Times New Roman"/>
          <w:color w:val="333333"/>
          <w:sz w:val="18"/>
          <w:szCs w:val="18"/>
          <w:lang w:eastAsia="ru-RU"/>
        </w:rPr>
        <w:lastRenderedPageBreak/>
        <w:t>0,85;</w:t>
      </w:r>
      <w:r w:rsidRPr="00A4614F">
        <w:rPr>
          <w:rFonts w:ascii="Verdana" w:eastAsia="Times New Roman" w:hAnsi="Verdana" w:cs="Times New Roman"/>
          <w:color w:val="333333"/>
          <w:sz w:val="18"/>
          <w:szCs w:val="18"/>
          <w:lang w:eastAsia="ru-RU"/>
        </w:rPr>
        <w:br/>
        <w:t>для арболита, укладываемого в вертикальные формы (кассеты) на высоту более 50 см, независимо от способа уплотнения</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Ybi</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0,9;</w:t>
      </w:r>
      <w:r w:rsidRPr="00A4614F">
        <w:rPr>
          <w:rFonts w:ascii="Verdana" w:eastAsia="Times New Roman" w:hAnsi="Verdana" w:cs="Times New Roman"/>
          <w:color w:val="333333"/>
          <w:sz w:val="18"/>
          <w:szCs w:val="18"/>
          <w:lang w:eastAsia="ru-RU"/>
        </w:rPr>
        <w:br/>
        <w:t>для простенков и блоков сечением менее 0,15 м2</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Ybi</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0,8;</w:t>
      </w:r>
      <w:r w:rsidRPr="00A4614F">
        <w:rPr>
          <w:rFonts w:ascii="Verdana" w:eastAsia="Times New Roman" w:hAnsi="Verdana" w:cs="Times New Roman"/>
          <w:color w:val="333333"/>
          <w:sz w:val="18"/>
          <w:szCs w:val="18"/>
          <w:lang w:eastAsia="ru-RU"/>
        </w:rPr>
        <w:br/>
        <w:t>для всех элементов при расчете прочности на монтажные нагрузки при влажности арболита выше 20%</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Ybi</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0,8.</w:t>
      </w:r>
      <w:r w:rsidRPr="00A4614F">
        <w:rPr>
          <w:rFonts w:ascii="Verdana" w:eastAsia="Times New Roman" w:hAnsi="Verdana" w:cs="Times New Roman"/>
          <w:color w:val="333333"/>
          <w:sz w:val="18"/>
          <w:szCs w:val="18"/>
          <w:lang w:eastAsia="ru-RU"/>
        </w:rPr>
        <w:br/>
        <w:t>3.16. Марки по плотности (объемной массе) арболита и конструкциях в высушенном до постоянной массы состоянии, указываемые в рабочих чертежах, не должны превышать значений, приведенных в табл. 3.</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1"/>
        <w:gridCol w:w="2174"/>
        <w:gridCol w:w="2196"/>
      </w:tblGrid>
      <w:tr w:rsidR="00A4614F" w:rsidRPr="00A4614F" w:rsidTr="00A4614F">
        <w:trPr>
          <w:tblCellSpacing w:w="22" w:type="dxa"/>
          <w:jc w:val="center"/>
        </w:trPr>
        <w:tc>
          <w:tcPr>
            <w:tcW w:w="20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4245" w:type="dxa"/>
            <w:gridSpan w:val="2"/>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Марки по плотности арболита, кг/м2</w:t>
            </w:r>
          </w:p>
        </w:tc>
      </w:tr>
      <w:tr w:rsidR="00A4614F" w:rsidRPr="00A4614F" w:rsidTr="00A4614F">
        <w:trPr>
          <w:tblCellSpacing w:w="22" w:type="dxa"/>
          <w:jc w:val="center"/>
        </w:trPr>
        <w:tc>
          <w:tcPr>
            <w:tcW w:w="20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Класс арболита</w:t>
            </w:r>
          </w:p>
        </w:tc>
        <w:tc>
          <w:tcPr>
            <w:tcW w:w="4245" w:type="dxa"/>
            <w:gridSpan w:val="2"/>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на древесной дробленке из отходов</w:t>
            </w:r>
          </w:p>
        </w:tc>
      </w:tr>
      <w:tr w:rsidR="00A4614F" w:rsidRPr="00A4614F" w:rsidTr="00A4614F">
        <w:trPr>
          <w:tblCellSpacing w:w="22" w:type="dxa"/>
          <w:jc w:val="center"/>
        </w:trPr>
        <w:tc>
          <w:tcPr>
            <w:tcW w:w="20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по прочности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на сжатие</w:t>
            </w:r>
          </w:p>
        </w:tc>
        <w:tc>
          <w:tcPr>
            <w:tcW w:w="21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деревообработки</w:t>
            </w:r>
          </w:p>
        </w:tc>
        <w:tc>
          <w:tcPr>
            <w:tcW w:w="21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лесозаготовок</w:t>
            </w:r>
          </w:p>
        </w:tc>
      </w:tr>
      <w:tr w:rsidR="00A4614F" w:rsidRPr="00A4614F" w:rsidTr="00A4614F">
        <w:trPr>
          <w:tblCellSpacing w:w="22" w:type="dxa"/>
          <w:jc w:val="center"/>
        </w:trPr>
        <w:tc>
          <w:tcPr>
            <w:tcW w:w="20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В0,75</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В1</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В1,5</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В2</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В2,5</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В3</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В3,5</w:t>
            </w:r>
          </w:p>
        </w:tc>
        <w:tc>
          <w:tcPr>
            <w:tcW w:w="21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450</w:t>
            </w:r>
            <w:r w:rsidRPr="00A4614F">
              <w:rPr>
                <w:rFonts w:ascii="Times New Roman" w:eastAsia="Times New Roman" w:hAnsi="Times New Roman" w:cs="Times New Roman"/>
                <w:sz w:val="18"/>
                <w:szCs w:val="18"/>
                <w:lang w:eastAsia="ru-RU"/>
              </w:rPr>
              <w:br/>
              <w:t>500</w:t>
            </w:r>
            <w:r w:rsidRPr="00A4614F">
              <w:rPr>
                <w:rFonts w:ascii="Times New Roman" w:eastAsia="Times New Roman" w:hAnsi="Times New Roman" w:cs="Times New Roman"/>
                <w:sz w:val="18"/>
                <w:szCs w:val="18"/>
                <w:lang w:eastAsia="ru-RU"/>
              </w:rPr>
              <w:br/>
              <w:t>600</w:t>
            </w:r>
            <w:r w:rsidRPr="00A4614F">
              <w:rPr>
                <w:rFonts w:ascii="Times New Roman" w:eastAsia="Times New Roman" w:hAnsi="Times New Roman" w:cs="Times New Roman"/>
                <w:sz w:val="18"/>
                <w:szCs w:val="18"/>
                <w:lang w:eastAsia="ru-RU"/>
              </w:rPr>
              <w:br/>
              <w:t>650</w:t>
            </w:r>
            <w:r w:rsidRPr="00A4614F">
              <w:rPr>
                <w:rFonts w:ascii="Times New Roman" w:eastAsia="Times New Roman" w:hAnsi="Times New Roman" w:cs="Times New Roman"/>
                <w:sz w:val="18"/>
                <w:szCs w:val="18"/>
                <w:lang w:eastAsia="ru-RU"/>
              </w:rPr>
              <w:br/>
              <w:t>650</w:t>
            </w:r>
            <w:r w:rsidRPr="00A4614F">
              <w:rPr>
                <w:rFonts w:ascii="Times New Roman" w:eastAsia="Times New Roman" w:hAnsi="Times New Roman" w:cs="Times New Roman"/>
                <w:sz w:val="18"/>
                <w:szCs w:val="18"/>
                <w:lang w:eastAsia="ru-RU"/>
              </w:rPr>
              <w:br/>
              <w:t>700</w:t>
            </w:r>
            <w:r w:rsidRPr="00A4614F">
              <w:rPr>
                <w:rFonts w:ascii="Times New Roman" w:eastAsia="Times New Roman" w:hAnsi="Times New Roman" w:cs="Times New Roman"/>
                <w:sz w:val="18"/>
                <w:szCs w:val="18"/>
                <w:lang w:eastAsia="ru-RU"/>
              </w:rPr>
              <w:br/>
              <w:t>750</w:t>
            </w:r>
            <w:r w:rsidRPr="00A4614F">
              <w:rPr>
                <w:rFonts w:ascii="Times New Roman" w:eastAsia="Times New Roman" w:hAnsi="Times New Roman" w:cs="Times New Roman"/>
                <w:sz w:val="18"/>
                <w:szCs w:val="18"/>
                <w:lang w:eastAsia="ru-RU"/>
              </w:rPr>
              <w:br/>
              <w:t>800</w:t>
            </w:r>
          </w:p>
        </w:tc>
        <w:tc>
          <w:tcPr>
            <w:tcW w:w="21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500</w:t>
            </w:r>
            <w:r w:rsidRPr="00A4614F">
              <w:rPr>
                <w:rFonts w:ascii="Times New Roman" w:eastAsia="Times New Roman" w:hAnsi="Times New Roman" w:cs="Times New Roman"/>
                <w:sz w:val="18"/>
                <w:szCs w:val="18"/>
                <w:lang w:eastAsia="ru-RU"/>
              </w:rPr>
              <w:br/>
              <w:t>500</w:t>
            </w:r>
            <w:r w:rsidRPr="00A4614F">
              <w:rPr>
                <w:rFonts w:ascii="Times New Roman" w:eastAsia="Times New Roman" w:hAnsi="Times New Roman" w:cs="Times New Roman"/>
                <w:sz w:val="18"/>
                <w:szCs w:val="18"/>
                <w:lang w:eastAsia="ru-RU"/>
              </w:rPr>
              <w:br/>
              <w:t>600</w:t>
            </w:r>
            <w:r w:rsidRPr="00A4614F">
              <w:rPr>
                <w:rFonts w:ascii="Times New Roman" w:eastAsia="Times New Roman" w:hAnsi="Times New Roman" w:cs="Times New Roman"/>
                <w:sz w:val="18"/>
                <w:szCs w:val="18"/>
                <w:lang w:eastAsia="ru-RU"/>
              </w:rPr>
              <w:br/>
              <w:t>700</w:t>
            </w:r>
            <w:r w:rsidRPr="00A4614F">
              <w:rPr>
                <w:rFonts w:ascii="Times New Roman" w:eastAsia="Times New Roman" w:hAnsi="Times New Roman" w:cs="Times New Roman"/>
                <w:sz w:val="18"/>
                <w:szCs w:val="18"/>
                <w:lang w:eastAsia="ru-RU"/>
              </w:rPr>
              <w:br/>
              <w:t>750</w:t>
            </w:r>
            <w:r w:rsidRPr="00A4614F">
              <w:rPr>
                <w:rFonts w:ascii="Times New Roman" w:eastAsia="Times New Roman" w:hAnsi="Times New Roman" w:cs="Times New Roman"/>
                <w:sz w:val="18"/>
                <w:szCs w:val="18"/>
                <w:lang w:eastAsia="ru-RU"/>
              </w:rPr>
              <w:br/>
              <w:t>750</w:t>
            </w:r>
            <w:r w:rsidRPr="00A4614F">
              <w:rPr>
                <w:rFonts w:ascii="Times New Roman" w:eastAsia="Times New Roman" w:hAnsi="Times New Roman" w:cs="Times New Roman"/>
                <w:sz w:val="18"/>
                <w:szCs w:val="18"/>
                <w:lang w:eastAsia="ru-RU"/>
              </w:rPr>
              <w:br/>
              <w:t>800</w:t>
            </w:r>
            <w:r w:rsidRPr="00A4614F">
              <w:rPr>
                <w:rFonts w:ascii="Times New Roman" w:eastAsia="Times New Roman" w:hAnsi="Times New Roman" w:cs="Times New Roman"/>
                <w:sz w:val="18"/>
                <w:szCs w:val="18"/>
                <w:lang w:eastAsia="ru-RU"/>
              </w:rPr>
              <w:br/>
              <w:t>850</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 определении нагрузок плотность (объемная масса) арболита принимается с учетом влажности. Установившаяся влажность для конструкций из арболита принимается в соответствии с главой СНиП по строительной теплотехнике, влажность арболита в конструкциях при распалубке – 35 %, а при отпуске конструкций потребителю – не более 25 % (по массе).</w:t>
      </w:r>
      <w:r w:rsidRPr="00A4614F">
        <w:rPr>
          <w:rFonts w:ascii="Verdana" w:eastAsia="Times New Roman" w:hAnsi="Verdana" w:cs="Times New Roman"/>
          <w:color w:val="333333"/>
          <w:sz w:val="18"/>
          <w:szCs w:val="18"/>
          <w:lang w:eastAsia="ru-RU"/>
        </w:rPr>
        <w:br/>
        <w:t>3.17. Величина начального модуля упругости арболита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Е</w:t>
      </w:r>
      <w:r w:rsidRPr="00A4614F">
        <w:rPr>
          <w:rFonts w:ascii="Verdana" w:eastAsia="Times New Roman" w:hAnsi="Verdana" w:cs="Times New Roman"/>
          <w:color w:val="333333"/>
          <w:sz w:val="18"/>
          <w:szCs w:val="18"/>
          <w:lang w:eastAsia="ru-RU"/>
        </w:rPr>
        <w:t>в принимается по табл. 4.</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6"/>
        <w:gridCol w:w="584"/>
        <w:gridCol w:w="584"/>
        <w:gridCol w:w="584"/>
        <w:gridCol w:w="584"/>
        <w:gridCol w:w="704"/>
        <w:gridCol w:w="614"/>
        <w:gridCol w:w="614"/>
        <w:gridCol w:w="636"/>
      </w:tblGrid>
      <w:tr w:rsidR="00A4614F" w:rsidRPr="00A4614F" w:rsidTr="00A4614F">
        <w:trPr>
          <w:tblCellSpacing w:w="22" w:type="dxa"/>
          <w:jc w:val="center"/>
        </w:trPr>
        <w:tc>
          <w:tcPr>
            <w:tcW w:w="17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Плотность (объемная масса) арболита при средней естественной влажности</w:t>
            </w:r>
          </w:p>
        </w:tc>
        <w:tc>
          <w:tcPr>
            <w:tcW w:w="0" w:type="auto"/>
            <w:gridSpan w:val="8"/>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Начальные модули упругости арболита</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при сжатии и растяжении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Rb</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при классе арболита</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по прочности на сжатие</w:t>
            </w:r>
          </w:p>
        </w:tc>
      </w:tr>
      <w:tr w:rsidR="00A4614F" w:rsidRPr="00A4614F" w:rsidTr="00A4614F">
        <w:trPr>
          <w:tblCellSpacing w:w="22" w:type="dxa"/>
          <w:jc w:val="center"/>
        </w:trPr>
        <w:tc>
          <w:tcPr>
            <w:tcW w:w="17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по массе 15-20%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В0,75</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В1,5</w:t>
            </w:r>
          </w:p>
        </w:tc>
        <w:tc>
          <w:tcPr>
            <w:tcW w:w="66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В3</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В3,5</w:t>
            </w:r>
          </w:p>
        </w:tc>
      </w:tr>
      <w:tr w:rsidR="00A4614F" w:rsidRPr="00A4614F" w:rsidTr="00A4614F">
        <w:trPr>
          <w:tblCellSpacing w:w="22" w:type="dxa"/>
          <w:jc w:val="center"/>
        </w:trPr>
        <w:tc>
          <w:tcPr>
            <w:tcW w:w="17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500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600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700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800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lastRenderedPageBreak/>
              <w:t>250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2550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u w:val="single"/>
                <w:lang w:eastAsia="ru-RU"/>
              </w:rPr>
              <w:t>340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3470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u w:val="single"/>
                <w:lang w:eastAsia="ru-RU"/>
              </w:rPr>
              <w:t>440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4480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u w:val="single"/>
                <w:lang w:eastAsia="ru-RU"/>
              </w:rPr>
              <w:t>500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5100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u w:val="single"/>
                <w:lang w:eastAsia="ru-RU"/>
              </w:rPr>
              <w:t>580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5900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300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3060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410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4180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510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5200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590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6000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680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6940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500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5100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600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6120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700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7140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800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lang w:eastAsia="ru-RU"/>
              </w:rPr>
              <w:lastRenderedPageBreak/>
              <w:t>8150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620</w:t>
            </w:r>
            <w:r w:rsidRPr="00A4614F">
              <w:rPr>
                <w:rFonts w:ascii="Times New Roman" w:eastAsia="Times New Roman" w:hAnsi="Times New Roman" w:cs="Times New Roman"/>
                <w:sz w:val="18"/>
                <w:szCs w:val="18"/>
                <w:lang w:eastAsia="ru-RU"/>
              </w:rPr>
              <w:br/>
              <w:t>6320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750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7650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900</w:t>
            </w:r>
            <w:r w:rsidRPr="00A4614F">
              <w:rPr>
                <w:rFonts w:ascii="Times New Roman" w:eastAsia="Times New Roman" w:hAnsi="Times New Roman" w:cs="Times New Roman"/>
                <w:sz w:val="18"/>
                <w:szCs w:val="18"/>
                <w:lang w:eastAsia="ru-RU"/>
              </w:rPr>
              <w:br/>
              <w:t>9170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1050</w:t>
            </w: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lang w:eastAsia="ru-RU"/>
              </w:rPr>
              <w:lastRenderedPageBreak/>
              <w:t>10700</w:t>
            </w:r>
          </w:p>
        </w:tc>
        <w:tc>
          <w:tcPr>
            <w:tcW w:w="66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1000</w:t>
            </w:r>
            <w:r w:rsidRPr="00A4614F">
              <w:rPr>
                <w:rFonts w:ascii="Times New Roman" w:eastAsia="Times New Roman" w:hAnsi="Times New Roman" w:cs="Times New Roman"/>
                <w:sz w:val="18"/>
                <w:szCs w:val="18"/>
                <w:lang w:eastAsia="ru-RU"/>
              </w:rPr>
              <w:br/>
              <w:t>10200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1150</w:t>
            </w:r>
            <w:r w:rsidRPr="00A4614F">
              <w:rPr>
                <w:rFonts w:ascii="Times New Roman" w:eastAsia="Times New Roman" w:hAnsi="Times New Roman" w:cs="Times New Roman"/>
                <w:sz w:val="18"/>
                <w:szCs w:val="18"/>
                <w:lang w:eastAsia="ru-RU"/>
              </w:rPr>
              <w:br/>
              <w:t>11700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1400</w:t>
            </w:r>
            <w:r w:rsidRPr="00A4614F">
              <w:rPr>
                <w:rFonts w:ascii="Times New Roman" w:eastAsia="Times New Roman" w:hAnsi="Times New Roman" w:cs="Times New Roman"/>
                <w:sz w:val="18"/>
                <w:szCs w:val="18"/>
                <w:lang w:eastAsia="ru-RU"/>
              </w:rPr>
              <w:br/>
              <w:t>14300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1300</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13300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1500</w:t>
            </w:r>
            <w:r w:rsidRPr="00A4614F">
              <w:rPr>
                <w:rFonts w:ascii="Times New Roman" w:eastAsia="Times New Roman" w:hAnsi="Times New Roman" w:cs="Times New Roman"/>
                <w:sz w:val="18"/>
                <w:szCs w:val="18"/>
                <w:lang w:eastAsia="ru-RU"/>
              </w:rPr>
              <w:br/>
              <w:t>15300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1700</w:t>
            </w:r>
            <w:r w:rsidRPr="00A4614F">
              <w:rPr>
                <w:rFonts w:ascii="Times New Roman" w:eastAsia="Times New Roman" w:hAnsi="Times New Roman" w:cs="Times New Roman"/>
                <w:sz w:val="18"/>
                <w:szCs w:val="18"/>
                <w:lang w:eastAsia="ru-RU"/>
              </w:rPr>
              <w:br/>
              <w:t>17300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1820</w:t>
            </w:r>
            <w:r w:rsidRPr="00A4614F">
              <w:rPr>
                <w:rFonts w:ascii="Times New Roman" w:eastAsia="Times New Roman" w:hAnsi="Times New Roman" w:cs="Times New Roman"/>
                <w:sz w:val="18"/>
                <w:szCs w:val="18"/>
                <w:lang w:eastAsia="ru-RU"/>
              </w:rPr>
              <w:br/>
              <w:t>1850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2000</w:t>
            </w: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lang w:eastAsia="ru-RU"/>
              </w:rPr>
              <w:lastRenderedPageBreak/>
              <w:t>20400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t>2140</w:t>
            </w:r>
            <w:r w:rsidRPr="00A4614F">
              <w:rPr>
                <w:rFonts w:ascii="Times New Roman" w:eastAsia="Times New Roman" w:hAnsi="Times New Roman" w:cs="Times New Roman"/>
                <w:sz w:val="18"/>
                <w:szCs w:val="18"/>
                <w:lang w:eastAsia="ru-RU"/>
              </w:rPr>
              <w:br/>
              <w:t>21800</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u w:val="single"/>
                <w:lang w:eastAsia="ru-RU"/>
              </w:rPr>
              <w:br/>
              <w:t>2300</w:t>
            </w:r>
            <w:r w:rsidRPr="00A4614F">
              <w:rPr>
                <w:rFonts w:ascii="Times New Roman" w:eastAsia="Times New Roman" w:hAnsi="Times New Roman" w:cs="Times New Roman"/>
                <w:sz w:val="18"/>
                <w:szCs w:val="18"/>
                <w:lang w:eastAsia="ru-RU"/>
              </w:rPr>
              <w:br/>
            </w:r>
            <w:r w:rsidRPr="00A4614F">
              <w:rPr>
                <w:rFonts w:ascii="Times New Roman" w:eastAsia="Times New Roman" w:hAnsi="Times New Roman" w:cs="Times New Roman"/>
                <w:sz w:val="18"/>
                <w:szCs w:val="18"/>
                <w:lang w:eastAsia="ru-RU"/>
              </w:rPr>
              <w:lastRenderedPageBreak/>
              <w:t>23800</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lastRenderedPageBreak/>
        <w:t>Примечание: Над чертой указаны значения в МПа, под чертой – кгс/см2.</w:t>
      </w:r>
      <w:r w:rsidRPr="00A4614F">
        <w:rPr>
          <w:rFonts w:ascii="Verdana" w:eastAsia="Times New Roman" w:hAnsi="Verdana" w:cs="Times New Roman"/>
          <w:color w:val="333333"/>
          <w:sz w:val="18"/>
          <w:szCs w:val="18"/>
          <w:lang w:eastAsia="ru-RU"/>
        </w:rPr>
        <w:br/>
        <w:t>3.18. Начальный коэффициент поперечной деформации арболита (коэффициент Пуассона) принимается равным 0,2.</w:t>
      </w:r>
      <w:r w:rsidRPr="00A4614F">
        <w:rPr>
          <w:rFonts w:ascii="Verdana" w:eastAsia="Times New Roman" w:hAnsi="Verdana" w:cs="Times New Roman"/>
          <w:color w:val="333333"/>
          <w:sz w:val="18"/>
          <w:szCs w:val="18"/>
          <w:lang w:eastAsia="ru-RU"/>
        </w:rPr>
        <w:br/>
        <w:t>3.19. Марка бетона (раствора) наружных отделочных слоев по морозостойкости должна соответствовать главе СНиП по проектированию бетонных и железобетонных конструкций и указываться в рабочих чертежах.</w:t>
      </w:r>
      <w:r w:rsidRPr="00A4614F">
        <w:rPr>
          <w:rFonts w:ascii="Verdana" w:eastAsia="Times New Roman" w:hAnsi="Verdana" w:cs="Times New Roman"/>
          <w:color w:val="333333"/>
          <w:sz w:val="18"/>
          <w:szCs w:val="18"/>
          <w:lang w:eastAsia="ru-RU"/>
        </w:rPr>
        <w:br/>
        <w:t>3.20. Марка арболита и бетона (раствора) наружных отделочных слоев по морозостойкости должна соответствовать указанной в рабочих чертежах и быть не менее:</w:t>
      </w:r>
      <w:r w:rsidRPr="00A4614F">
        <w:rPr>
          <w:rFonts w:ascii="Verdana" w:eastAsia="Times New Roman" w:hAnsi="Verdana" w:cs="Times New Roman"/>
          <w:color w:val="333333"/>
          <w:sz w:val="18"/>
          <w:szCs w:val="18"/>
          <w:lang w:eastAsia="ru-RU"/>
        </w:rPr>
        <w:br/>
        <w:t>Мрз 25 – для конструкций, применяемых в зданиях с относительной влажностью воздуха помещений не более 60 %;</w:t>
      </w:r>
      <w:r w:rsidRPr="00A4614F">
        <w:rPr>
          <w:rFonts w:ascii="Verdana" w:eastAsia="Times New Roman" w:hAnsi="Verdana" w:cs="Times New Roman"/>
          <w:color w:val="333333"/>
          <w:sz w:val="18"/>
          <w:szCs w:val="18"/>
          <w:lang w:eastAsia="ru-RU"/>
        </w:rPr>
        <w:br/>
        <w:t>Мрз 35 – для конструкций, применяемых в зданиях с относительной влажностью воздуха помещений от 60 до 75 %;</w:t>
      </w:r>
      <w:r w:rsidRPr="00A4614F">
        <w:rPr>
          <w:rFonts w:ascii="Verdana" w:eastAsia="Times New Roman" w:hAnsi="Verdana" w:cs="Times New Roman"/>
          <w:color w:val="333333"/>
          <w:sz w:val="18"/>
          <w:szCs w:val="18"/>
          <w:lang w:eastAsia="ru-RU"/>
        </w:rPr>
        <w:br/>
        <w:t>Мрз 50 – для конструкций, применяемых в зданиях с относительной влажностью воздуха помещений свыше 75 %, а также для бетона (раствора) наружного отделочного слоя.</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Основные расчетные положения</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3.21. Конструкции из арболита следует рассчитывать по несущей способности (по предельным состояниям первой группы) на воздействие расчетных нагрузок с учетом расчетных сопротивлений арболита и арматуры.</w:t>
      </w:r>
      <w:r w:rsidRPr="00A4614F">
        <w:rPr>
          <w:rFonts w:ascii="Verdana" w:eastAsia="Times New Roman" w:hAnsi="Verdana" w:cs="Times New Roman"/>
          <w:color w:val="333333"/>
          <w:sz w:val="18"/>
          <w:szCs w:val="18"/>
          <w:lang w:eastAsia="ru-RU"/>
        </w:rPr>
        <w:br/>
        <w:t>Изгибаемые элементы, кроме того, рассчитываются по деформациям на воздействие нормативных нагрузок, а конструкции составного сечения – по деформациям и раскрытию трещин (по предельным состояниям второй группы).</w:t>
      </w:r>
      <w:r w:rsidRPr="00A4614F">
        <w:rPr>
          <w:rFonts w:ascii="Verdana" w:eastAsia="Times New Roman" w:hAnsi="Verdana" w:cs="Times New Roman"/>
          <w:color w:val="333333"/>
          <w:sz w:val="18"/>
          <w:szCs w:val="18"/>
          <w:lang w:eastAsia="ru-RU"/>
        </w:rPr>
        <w:br/>
        <w:t>3.22. Все конструкции из арболита следует рассчитывать также на усилия, возникающие при распалубливании, транспортировании и монтаже; при этом собственная масса конструкций принимается с учетом влажности по п. 3.16 настоящей Инструкции, а также с учетом коэффициента динамичности 1,5. Расчетные сопротивления арболита при распалубке и складировании конструкций принимаются равными 70 % нормируемых их значений в 28-дневном возрасте.</w:t>
      </w:r>
      <w:r w:rsidRPr="00A4614F">
        <w:rPr>
          <w:rFonts w:ascii="Verdana" w:eastAsia="Times New Roman" w:hAnsi="Verdana" w:cs="Times New Roman"/>
          <w:color w:val="333333"/>
          <w:sz w:val="18"/>
          <w:szCs w:val="18"/>
          <w:lang w:eastAsia="ru-RU"/>
        </w:rPr>
        <w:br/>
        <w:t>3.23. Расчет конструкций из арболита, например панелей и блоков, усиленных в необходимых случаях монтажной арматурой, производится по прочности и деформациям как однослойных элементов в соответствии с настоящей Инструкцией. Отделочные (фактурные) слои из раствора толщиной до 2 см у таких элементов при расчете прочности и деформации не учитываются, однако рабочая высота элемента (толщина) принимается с учетом толщины отделочных слоев.</w:t>
      </w:r>
      <w:r w:rsidRPr="00A4614F">
        <w:rPr>
          <w:rFonts w:ascii="Verdana" w:eastAsia="Times New Roman" w:hAnsi="Verdana" w:cs="Times New Roman"/>
          <w:color w:val="333333"/>
          <w:sz w:val="18"/>
          <w:szCs w:val="18"/>
          <w:lang w:eastAsia="ru-RU"/>
        </w:rPr>
        <w:br/>
        <w:t>Конструкции составного сечения, например панели покрытий и перекрытий и др., рассчитываются по прочности, деформациям и раскрытию трещин с учетом толщины слоев из бетона по приведенной их площади сечений (см. п. 3.49). При этом расчетные сопротивления бетона и арматуры и их модули упругости принимаются в соответствии с главой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3.24. Ширина раскрытия трещин (в бетоне), нормальных к оси элемента, у конструкций составного сечения при продолжительном действии нагрузки не должна превышать 0,3 мм, а при непродолжительном – 0,4 мм.</w:t>
      </w:r>
      <w:r w:rsidRPr="00A4614F">
        <w:rPr>
          <w:rFonts w:ascii="Verdana" w:eastAsia="Times New Roman" w:hAnsi="Verdana" w:cs="Times New Roman"/>
          <w:color w:val="333333"/>
          <w:sz w:val="18"/>
          <w:szCs w:val="18"/>
          <w:lang w:eastAsia="ru-RU"/>
        </w:rPr>
        <w:br/>
        <w:t>Прогибы всех изгибаемых элементов, определенные с учетом длительного действия нагрузки, не должны превышать значений, указанных в главе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При проектировании изгибаемых элементов составного сечения допускается предусматривать строительный подъем (обратный выгиб) в соответствии с п. 3.50.</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3.25. При расчете несущей способности стен из панелей или блоков следует проверить прочность сечения стен в пределах высоты этажа и опорные сечения стен, примыкающие к горизонтальным растворным монтажным швам в уровне перекрытий.</w:t>
      </w:r>
      <w:r w:rsidRPr="00A4614F">
        <w:rPr>
          <w:rFonts w:ascii="Verdana" w:eastAsia="Times New Roman" w:hAnsi="Verdana" w:cs="Times New Roman"/>
          <w:color w:val="333333"/>
          <w:sz w:val="18"/>
          <w:szCs w:val="18"/>
          <w:lang w:eastAsia="ru-RU"/>
        </w:rPr>
        <w:br/>
        <w:t>3.26. Максимальную приведенную гибкость</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несущих и самонесущих стен из панелей и блоков в пределах этажа следует принимать не более указанной в табл. 5.</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lastRenderedPageBreak/>
        <w:t>Таблица 5</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1"/>
        <w:gridCol w:w="2309"/>
        <w:gridCol w:w="1836"/>
      </w:tblGrid>
      <w:tr w:rsidR="00A4614F" w:rsidRPr="00A4614F" w:rsidTr="00A4614F">
        <w:trPr>
          <w:tblCellSpacing w:w="22" w:type="dxa"/>
          <w:jc w:val="center"/>
        </w:trPr>
        <w:tc>
          <w:tcPr>
            <w:tcW w:w="226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Вид стены</w:t>
            </w:r>
          </w:p>
        </w:tc>
        <w:tc>
          <w:tcPr>
            <w:tcW w:w="226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Схема разрезки стены</w:t>
            </w:r>
          </w:p>
        </w:tc>
        <w:tc>
          <w:tcPr>
            <w:tcW w:w="17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i/>
                <w:iCs/>
                <w:sz w:val="18"/>
                <w:lang w:eastAsia="ru-RU"/>
              </w:rPr>
              <w:t>l</w:t>
            </w:r>
            <w:r w:rsidRPr="00A4614F">
              <w:rPr>
                <w:rFonts w:ascii="Times New Roman" w:eastAsia="Times New Roman" w:hAnsi="Times New Roman" w:cs="Times New Roman"/>
                <w:sz w:val="18"/>
                <w:szCs w:val="18"/>
                <w:lang w:eastAsia="ru-RU"/>
              </w:rPr>
              <w:t>/</w:t>
            </w:r>
            <w:r w:rsidRPr="00A4614F">
              <w:rPr>
                <w:rFonts w:ascii="Times New Roman" w:eastAsia="Times New Roman" w:hAnsi="Times New Roman" w:cs="Times New Roman"/>
                <w:i/>
                <w:iCs/>
                <w:sz w:val="18"/>
                <w:lang w:eastAsia="ru-RU"/>
              </w:rPr>
              <w:t>h</w:t>
            </w:r>
          </w:p>
        </w:tc>
      </w:tr>
      <w:tr w:rsidR="00A4614F" w:rsidRPr="00A4614F" w:rsidTr="00A4614F">
        <w:trPr>
          <w:tblCellSpacing w:w="22" w:type="dxa"/>
          <w:jc w:val="center"/>
        </w:trPr>
        <w:tc>
          <w:tcPr>
            <w:tcW w:w="226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Из панелей</w:t>
            </w:r>
          </w:p>
        </w:tc>
        <w:tc>
          <w:tcPr>
            <w:tcW w:w="226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Однорядная</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Двухрядная</w:t>
            </w:r>
          </w:p>
        </w:tc>
        <w:tc>
          <w:tcPr>
            <w:tcW w:w="17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15</w:t>
            </w:r>
            <w:r w:rsidRPr="00A4614F">
              <w:rPr>
                <w:rFonts w:ascii="Times New Roman" w:eastAsia="Times New Roman" w:hAnsi="Times New Roman" w:cs="Times New Roman"/>
                <w:sz w:val="18"/>
                <w:szCs w:val="18"/>
                <w:lang w:eastAsia="ru-RU"/>
              </w:rPr>
              <w:br/>
              <w:t>12</w:t>
            </w:r>
          </w:p>
        </w:tc>
      </w:tr>
      <w:tr w:rsidR="00A4614F" w:rsidRPr="00A4614F" w:rsidTr="00A4614F">
        <w:trPr>
          <w:tblCellSpacing w:w="22" w:type="dxa"/>
          <w:jc w:val="center"/>
        </w:trPr>
        <w:tc>
          <w:tcPr>
            <w:tcW w:w="226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Из блоков</w:t>
            </w:r>
          </w:p>
        </w:tc>
        <w:tc>
          <w:tcPr>
            <w:tcW w:w="226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Однорядная</w:t>
            </w:r>
            <w:r w:rsidRPr="00A4614F">
              <w:rPr>
                <w:rFonts w:ascii="Times New Roman" w:eastAsia="Times New Roman" w:hAnsi="Times New Roman" w:cs="Times New Roman"/>
                <w:sz w:val="18"/>
                <w:szCs w:val="18"/>
                <w:lang w:eastAsia="ru-RU"/>
              </w:rPr>
              <w:br/>
              <w:t>Двухрядная</w:t>
            </w:r>
            <w:r w:rsidRPr="00A4614F">
              <w:rPr>
                <w:rFonts w:ascii="Times New Roman" w:eastAsia="Times New Roman" w:hAnsi="Times New Roman" w:cs="Times New Roman"/>
                <w:sz w:val="18"/>
                <w:szCs w:val="18"/>
                <w:lang w:eastAsia="ru-RU"/>
              </w:rPr>
              <w:br/>
              <w:t>Четырехрядная</w:t>
            </w:r>
            <w:r w:rsidRPr="00A4614F">
              <w:rPr>
                <w:rFonts w:ascii="Times New Roman" w:eastAsia="Times New Roman" w:hAnsi="Times New Roman" w:cs="Times New Roman"/>
                <w:sz w:val="18"/>
                <w:szCs w:val="18"/>
                <w:lang w:eastAsia="ru-RU"/>
              </w:rPr>
              <w:br/>
              <w:t>Трехрядная</w:t>
            </w:r>
          </w:p>
        </w:tc>
        <w:tc>
          <w:tcPr>
            <w:tcW w:w="17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15</w:t>
            </w:r>
            <w:r w:rsidRPr="00A4614F">
              <w:rPr>
                <w:rFonts w:ascii="Times New Roman" w:eastAsia="Times New Roman" w:hAnsi="Times New Roman" w:cs="Times New Roman"/>
                <w:sz w:val="18"/>
                <w:szCs w:val="18"/>
                <w:lang w:eastAsia="ru-RU"/>
              </w:rPr>
              <w:br/>
              <w:t>13</w:t>
            </w:r>
            <w:r w:rsidRPr="00A4614F">
              <w:rPr>
                <w:rFonts w:ascii="Times New Roman" w:eastAsia="Times New Roman" w:hAnsi="Times New Roman" w:cs="Times New Roman"/>
                <w:sz w:val="18"/>
                <w:szCs w:val="18"/>
                <w:lang w:eastAsia="ru-RU"/>
              </w:rPr>
              <w:br/>
              <w:t>9</w:t>
            </w:r>
            <w:r w:rsidRPr="00A4614F">
              <w:rPr>
                <w:rFonts w:ascii="Times New Roman" w:eastAsia="Times New Roman" w:hAnsi="Times New Roman" w:cs="Times New Roman"/>
                <w:sz w:val="18"/>
                <w:szCs w:val="18"/>
                <w:lang w:eastAsia="ru-RU"/>
              </w:rPr>
              <w:br/>
              <w:t>9</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Примечание: В табл. 5 и 6 приведенная гибкость равна отношению</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szCs w:val="18"/>
          <w:lang w:eastAsia="ru-RU"/>
        </w:rPr>
        <w:t>, 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высота этажа,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толщина элемента (полная высота сечения).</w:t>
      </w:r>
      <w:r w:rsidRPr="00A4614F">
        <w:rPr>
          <w:rFonts w:ascii="Verdana" w:eastAsia="Times New Roman" w:hAnsi="Verdana" w:cs="Times New Roman"/>
          <w:color w:val="333333"/>
          <w:sz w:val="18"/>
          <w:szCs w:val="18"/>
          <w:lang w:eastAsia="ru-RU"/>
        </w:rPr>
        <w:br/>
        <w:t>3.27. Предельные (максимальные) расстояния между температурно-усадочными швами однослойных стен из арболитовых панелей или блоков в отапливаемых и неотапливаемых зданиях принимают в соответствии с действующими нормативными документами как для аналогичных стен из легких бетонов.</w:t>
      </w:r>
      <w:r w:rsidRPr="00A4614F">
        <w:rPr>
          <w:rFonts w:ascii="Verdana" w:eastAsia="Times New Roman" w:hAnsi="Verdana" w:cs="Times New Roman"/>
          <w:color w:val="333333"/>
          <w:sz w:val="18"/>
          <w:szCs w:val="18"/>
          <w:lang w:eastAsia="ru-RU"/>
        </w:rPr>
        <w:br/>
        <w:t>3.28. Расчет стен из панелей и блоков, возводимых в зимних условиях, следует производить с учетом требований главы СНиП по проектированию каменных и армокаменных конструкций.</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Расчет элементов по предельным состояниям первой группы</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Внецентренно-сжатые элементы</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3.29. Элементы стен (панели, блоки) на вертикальные нагрузки рассчитываются как внецентренно-сжатые. При расчете стеновых панелей и блоков следует учитывать случайный эксцентриситет, принимаемый в соответствии с требованиями главы СНиП по проектированию бетонных и железобетонных конструкций, который суммируется с эксцентриситетом продольной силы, получаемым из статического расчета конструкций.</w:t>
      </w:r>
      <w:r w:rsidRPr="00A4614F">
        <w:rPr>
          <w:rFonts w:ascii="Verdana" w:eastAsia="Times New Roman" w:hAnsi="Verdana" w:cs="Times New Roman"/>
          <w:color w:val="333333"/>
          <w:sz w:val="18"/>
          <w:szCs w:val="18"/>
          <w:lang w:eastAsia="ru-RU"/>
        </w:rPr>
        <w:br/>
        <w:t>3.30. При расчете однослойных панелей или блоков в пределах каждого этажа приложение усилий от вертикальных нагрузок определяют по следующим правилам:</w:t>
      </w:r>
      <w:r w:rsidRPr="00A4614F">
        <w:rPr>
          <w:rFonts w:ascii="Verdana" w:eastAsia="Times New Roman" w:hAnsi="Verdana" w:cs="Times New Roman"/>
          <w:color w:val="333333"/>
          <w:sz w:val="18"/>
          <w:szCs w:val="18"/>
          <w:lang w:eastAsia="ru-RU"/>
        </w:rPr>
        <w:br/>
        <w:t>а) усилие от нагрузки верхних этажей или покрытий (крыши) считают приложенным по оси площади контакта между панелями в горизонтальном шве;</w:t>
      </w:r>
      <w:r w:rsidRPr="00A4614F">
        <w:rPr>
          <w:rFonts w:ascii="Verdana" w:eastAsia="Times New Roman" w:hAnsi="Verdana" w:cs="Times New Roman"/>
          <w:color w:val="333333"/>
          <w:sz w:val="18"/>
          <w:szCs w:val="18"/>
          <w:lang w:eastAsia="ru-RU"/>
        </w:rPr>
        <w:br/>
        <w:t>б) усилие от нагрузки перекрытия над данным этажом принимают приложенным на расстоянии 1/3 глубины заделки настила от внутренней грани стены;</w:t>
      </w:r>
      <w:r w:rsidRPr="00A4614F">
        <w:rPr>
          <w:rFonts w:ascii="Verdana" w:eastAsia="Times New Roman" w:hAnsi="Verdana" w:cs="Times New Roman"/>
          <w:color w:val="333333"/>
          <w:sz w:val="18"/>
          <w:szCs w:val="18"/>
          <w:lang w:eastAsia="ru-RU"/>
        </w:rPr>
        <w:br/>
        <w:t>в) нагрузку от собственной массы панели перекрытий в пределах рассматриваемого этажа считают приложенной в центре ее тяжести.</w:t>
      </w:r>
      <w:r w:rsidRPr="00A4614F">
        <w:rPr>
          <w:rFonts w:ascii="Verdana" w:eastAsia="Times New Roman" w:hAnsi="Verdana" w:cs="Times New Roman"/>
          <w:color w:val="333333"/>
          <w:sz w:val="18"/>
          <w:szCs w:val="18"/>
          <w:lang w:eastAsia="ru-RU"/>
        </w:rPr>
        <w:br/>
        <w:t>3.31. Изгибаемый момент от давления ветра на наружные стены по вертикальному пролету определяют как для разрезных однопролетных балок по известным в строительной механике методам.</w:t>
      </w:r>
      <w:r w:rsidRPr="00A4614F">
        <w:rPr>
          <w:rFonts w:ascii="Verdana" w:eastAsia="Times New Roman" w:hAnsi="Verdana" w:cs="Times New Roman"/>
          <w:color w:val="333333"/>
          <w:sz w:val="18"/>
          <w:szCs w:val="18"/>
          <w:lang w:eastAsia="ru-RU"/>
        </w:rPr>
        <w:br/>
        <w:t>3.32. Элементы стен из панелей и блоков однорядной разрезки на вертикальные нагрузки с учетом продольного изгиба рассчитываются из условий, что эксцентриситет продольной силы не должен превышать 0,4</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szCs w:val="18"/>
          <w:lang w:eastAsia="ru-RU"/>
        </w:rPr>
        <w:t>. Расчет таких элементов стен производится по формуле</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drawing>
          <wp:inline distT="0" distB="0" distL="0" distR="0">
            <wp:extent cx="1323975" cy="247650"/>
            <wp:effectExtent l="19050" t="0" r="9525" b="0"/>
            <wp:docPr id="3" name="Рисунок 3" descr="http://www.arbolit.net/images/snip/sni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bolit.net/images/snip/snip3.gif"/>
                    <pic:cNvPicPr>
                      <a:picLocks noChangeAspect="1" noChangeArrowheads="1"/>
                    </pic:cNvPicPr>
                  </pic:nvPicPr>
                  <pic:blipFill>
                    <a:blip r:embed="rId6"/>
                    <a:srcRect/>
                    <a:stretch>
                      <a:fillRect/>
                    </a:stretch>
                  </pic:blipFill>
                  <pic:spPr bwMode="auto">
                    <a:xfrm>
                      <a:off x="0" y="0"/>
                      <a:ext cx="1323975" cy="24765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(4)</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Аb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площадь сечения однослойного элемента;</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52400" cy="142875"/>
            <wp:effectExtent l="19050" t="0" r="0" b="0"/>
            <wp:docPr id="4" name="Рисунок 4"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болит"/>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коэффициент, учитывающий продольный изгиб и длительное воздействие нагрузки, принимаемый по табл. 6;</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6</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1"/>
        <w:gridCol w:w="899"/>
        <w:gridCol w:w="899"/>
        <w:gridCol w:w="899"/>
        <w:gridCol w:w="899"/>
        <w:gridCol w:w="899"/>
        <w:gridCol w:w="899"/>
        <w:gridCol w:w="921"/>
      </w:tblGrid>
      <w:tr w:rsidR="00A4614F" w:rsidRPr="00A4614F" w:rsidTr="00A4614F">
        <w:trPr>
          <w:tblCellSpacing w:w="22" w:type="dxa"/>
          <w:jc w:val="center"/>
        </w:trPr>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i/>
                <w:iCs/>
                <w:sz w:val="24"/>
                <w:szCs w:val="24"/>
                <w:u w:val="single"/>
                <w:lang w:eastAsia="ru-RU"/>
              </w:rPr>
              <w:t>N</w:t>
            </w:r>
            <w:r w:rsidRPr="00A4614F">
              <w:rPr>
                <w:rFonts w:ascii="Times New Roman" w:eastAsia="Times New Roman" w:hAnsi="Times New Roman" w:cs="Times New Roman"/>
                <w:sz w:val="24"/>
                <w:szCs w:val="24"/>
                <w:u w:val="single"/>
                <w:lang w:eastAsia="ru-RU"/>
              </w:rPr>
              <w:t>дл</w:t>
            </w:r>
          </w:p>
        </w:tc>
        <w:tc>
          <w:tcPr>
            <w:tcW w:w="5955" w:type="dxa"/>
            <w:gridSpan w:val="7"/>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Значения</w:t>
            </w:r>
            <w:r w:rsidRPr="00A4614F">
              <w:rPr>
                <w:rFonts w:ascii="Times New Roman" w:eastAsia="Times New Roman" w:hAnsi="Times New Roman" w:cs="Times New Roman"/>
                <w:sz w:val="18"/>
                <w:lang w:eastAsia="ru-RU"/>
              </w:rPr>
              <w:t> </w:t>
            </w:r>
            <w:r>
              <w:rPr>
                <w:rFonts w:ascii="Times New Roman" w:eastAsia="Times New Roman" w:hAnsi="Times New Roman" w:cs="Times New Roman"/>
                <w:i/>
                <w:iCs/>
                <w:noProof/>
                <w:sz w:val="18"/>
                <w:szCs w:val="18"/>
                <w:lang w:eastAsia="ru-RU"/>
              </w:rPr>
              <w:drawing>
                <wp:inline distT="0" distB="0" distL="0" distR="0">
                  <wp:extent cx="152400" cy="142875"/>
                  <wp:effectExtent l="19050" t="0" r="0" b="0"/>
                  <wp:docPr id="5" name="Рисунок 5" descr="Арболит - стеновые 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болит - стеновые блоки"/>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при</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l</w:t>
            </w:r>
            <w:r w:rsidRPr="00A4614F">
              <w:rPr>
                <w:rFonts w:ascii="Times New Roman" w:eastAsia="Times New Roman" w:hAnsi="Times New Roman" w:cs="Times New Roman"/>
                <w:sz w:val="18"/>
                <w:szCs w:val="18"/>
                <w:lang w:eastAsia="ru-RU"/>
              </w:rPr>
              <w:t>/</w:t>
            </w:r>
            <w:r w:rsidRPr="00A4614F">
              <w:rPr>
                <w:rFonts w:ascii="Times New Roman" w:eastAsia="Times New Roman" w:hAnsi="Times New Roman" w:cs="Times New Roman"/>
                <w:i/>
                <w:iCs/>
                <w:sz w:val="18"/>
                <w:lang w:eastAsia="ru-RU"/>
              </w:rPr>
              <w:t>h</w:t>
            </w:r>
          </w:p>
        </w:tc>
      </w:tr>
      <w:tr w:rsidR="00A4614F" w:rsidRPr="00A4614F" w:rsidTr="00A4614F">
        <w:trPr>
          <w:tblCellSpacing w:w="22" w:type="dxa"/>
          <w:jc w:val="center"/>
        </w:trPr>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i/>
                <w:iCs/>
                <w:sz w:val="18"/>
                <w:lang w:eastAsia="ru-RU"/>
              </w:rPr>
              <w:t>N</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6</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8</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10</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12</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14</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15</w:t>
            </w:r>
          </w:p>
        </w:tc>
      </w:tr>
      <w:tr w:rsidR="00A4614F" w:rsidRPr="00A4614F" w:rsidTr="00A4614F">
        <w:trPr>
          <w:tblCellSpacing w:w="22" w:type="dxa"/>
          <w:jc w:val="center"/>
        </w:trPr>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w:t>
            </w:r>
            <w:r w:rsidRPr="00A4614F">
              <w:rPr>
                <w:rFonts w:ascii="Times New Roman" w:eastAsia="Times New Roman" w:hAnsi="Times New Roman" w:cs="Times New Roman"/>
                <w:sz w:val="18"/>
                <w:szCs w:val="18"/>
                <w:lang w:eastAsia="ru-RU"/>
              </w:rPr>
              <w:br/>
              <w:t>0,5</w:t>
            </w:r>
            <w:r w:rsidRPr="00A4614F">
              <w:rPr>
                <w:rFonts w:ascii="Times New Roman" w:eastAsia="Times New Roman" w:hAnsi="Times New Roman" w:cs="Times New Roman"/>
                <w:sz w:val="18"/>
                <w:szCs w:val="18"/>
                <w:lang w:eastAsia="ru-RU"/>
              </w:rPr>
              <w:br/>
              <w:t>1</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w:t>
            </w:r>
            <w:r w:rsidRPr="00A4614F">
              <w:rPr>
                <w:rFonts w:ascii="Times New Roman" w:eastAsia="Times New Roman" w:hAnsi="Times New Roman" w:cs="Times New Roman"/>
                <w:sz w:val="18"/>
                <w:szCs w:val="18"/>
                <w:lang w:eastAsia="ru-RU"/>
              </w:rPr>
              <w:br/>
              <w:t>0,95</w:t>
            </w:r>
            <w:r w:rsidRPr="00A4614F">
              <w:rPr>
                <w:rFonts w:ascii="Times New Roman" w:eastAsia="Times New Roman" w:hAnsi="Times New Roman" w:cs="Times New Roman"/>
                <w:sz w:val="18"/>
                <w:szCs w:val="18"/>
                <w:lang w:eastAsia="ru-RU"/>
              </w:rPr>
              <w:br/>
              <w:t>0,8</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w:t>
            </w:r>
            <w:r w:rsidRPr="00A4614F">
              <w:rPr>
                <w:rFonts w:ascii="Times New Roman" w:eastAsia="Times New Roman" w:hAnsi="Times New Roman" w:cs="Times New Roman"/>
                <w:sz w:val="18"/>
                <w:szCs w:val="18"/>
                <w:lang w:eastAsia="ru-RU"/>
              </w:rPr>
              <w:br/>
              <w:t>0,85</w:t>
            </w:r>
            <w:r w:rsidRPr="00A4614F">
              <w:rPr>
                <w:rFonts w:ascii="Times New Roman" w:eastAsia="Times New Roman" w:hAnsi="Times New Roman" w:cs="Times New Roman"/>
                <w:sz w:val="18"/>
                <w:szCs w:val="18"/>
                <w:lang w:eastAsia="ru-RU"/>
              </w:rPr>
              <w:br/>
              <w:t>0,72</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0,9</w:t>
            </w:r>
            <w:r w:rsidRPr="00A4614F">
              <w:rPr>
                <w:rFonts w:ascii="Times New Roman" w:eastAsia="Times New Roman" w:hAnsi="Times New Roman" w:cs="Times New Roman"/>
                <w:sz w:val="18"/>
                <w:szCs w:val="18"/>
                <w:lang w:eastAsia="ru-RU"/>
              </w:rPr>
              <w:br/>
              <w:t>0,77</w:t>
            </w:r>
            <w:r w:rsidRPr="00A4614F">
              <w:rPr>
                <w:rFonts w:ascii="Times New Roman" w:eastAsia="Times New Roman" w:hAnsi="Times New Roman" w:cs="Times New Roman"/>
                <w:sz w:val="18"/>
                <w:szCs w:val="18"/>
                <w:lang w:eastAsia="ru-RU"/>
              </w:rPr>
              <w:br/>
              <w:t>0,63</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0,83</w:t>
            </w:r>
            <w:r w:rsidRPr="00A4614F">
              <w:rPr>
                <w:rFonts w:ascii="Times New Roman" w:eastAsia="Times New Roman" w:hAnsi="Times New Roman" w:cs="Times New Roman"/>
                <w:sz w:val="18"/>
                <w:szCs w:val="18"/>
                <w:lang w:eastAsia="ru-RU"/>
              </w:rPr>
              <w:br/>
              <w:t>0,7</w:t>
            </w:r>
            <w:r w:rsidRPr="00A4614F">
              <w:rPr>
                <w:rFonts w:ascii="Times New Roman" w:eastAsia="Times New Roman" w:hAnsi="Times New Roman" w:cs="Times New Roman"/>
                <w:sz w:val="18"/>
                <w:szCs w:val="18"/>
                <w:lang w:eastAsia="ru-RU"/>
              </w:rPr>
              <w:br/>
              <w:t>0,55</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0,76</w:t>
            </w:r>
            <w:r w:rsidRPr="00A4614F">
              <w:rPr>
                <w:rFonts w:ascii="Times New Roman" w:eastAsia="Times New Roman" w:hAnsi="Times New Roman" w:cs="Times New Roman"/>
                <w:sz w:val="18"/>
                <w:szCs w:val="18"/>
                <w:lang w:eastAsia="ru-RU"/>
              </w:rPr>
              <w:br/>
              <w:t>0,63</w:t>
            </w:r>
            <w:r w:rsidRPr="00A4614F">
              <w:rPr>
                <w:rFonts w:ascii="Times New Roman" w:eastAsia="Times New Roman" w:hAnsi="Times New Roman" w:cs="Times New Roman"/>
                <w:sz w:val="18"/>
                <w:szCs w:val="18"/>
                <w:lang w:eastAsia="ru-RU"/>
              </w:rPr>
              <w:br/>
              <w:t>0,47</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0,7</w:t>
            </w:r>
            <w:r w:rsidRPr="00A4614F">
              <w:rPr>
                <w:rFonts w:ascii="Times New Roman" w:eastAsia="Times New Roman" w:hAnsi="Times New Roman" w:cs="Times New Roman"/>
                <w:sz w:val="18"/>
                <w:szCs w:val="18"/>
                <w:lang w:eastAsia="ru-RU"/>
              </w:rPr>
              <w:br/>
              <w:t>0,57</w:t>
            </w:r>
            <w:r w:rsidRPr="00A4614F">
              <w:rPr>
                <w:rFonts w:ascii="Times New Roman" w:eastAsia="Times New Roman" w:hAnsi="Times New Roman" w:cs="Times New Roman"/>
                <w:sz w:val="18"/>
                <w:szCs w:val="18"/>
                <w:lang w:eastAsia="ru-RU"/>
              </w:rPr>
              <w:br/>
              <w:t>0,38</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0,66</w:t>
            </w:r>
            <w:r w:rsidRPr="00A4614F">
              <w:rPr>
                <w:rFonts w:ascii="Times New Roman" w:eastAsia="Times New Roman" w:hAnsi="Times New Roman" w:cs="Times New Roman"/>
                <w:sz w:val="18"/>
                <w:szCs w:val="18"/>
                <w:lang w:eastAsia="ru-RU"/>
              </w:rPr>
              <w:br/>
              <w:t>0,55</w:t>
            </w:r>
            <w:r w:rsidRPr="00A4614F">
              <w:rPr>
                <w:rFonts w:ascii="Times New Roman" w:eastAsia="Times New Roman" w:hAnsi="Times New Roman" w:cs="Times New Roman"/>
                <w:sz w:val="18"/>
                <w:szCs w:val="18"/>
                <w:lang w:eastAsia="ru-RU"/>
              </w:rPr>
              <w:br/>
              <w:t>0,35</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lastRenderedPageBreak/>
        <w:t>Примечание.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N</w:t>
      </w:r>
      <w:r w:rsidRPr="00A4614F">
        <w:rPr>
          <w:rFonts w:ascii="Verdana" w:eastAsia="Times New Roman" w:hAnsi="Verdana" w:cs="Times New Roman"/>
          <w:color w:val="333333"/>
          <w:sz w:val="18"/>
          <w:szCs w:val="18"/>
          <w:lang w:eastAsia="ru-RU"/>
        </w:rPr>
        <w:t>дл – длительно действующая нагрузка;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 N</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общая нагрузка на элемент.</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80975" cy="171450"/>
            <wp:effectExtent l="19050" t="0" r="9525" b="0"/>
            <wp:docPr id="6" name="Рисунок 6" descr="Арболит стеновые 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болит стеновые блоки"/>
                    <pic:cNvPicPr>
                      <a:picLocks noChangeAspect="1" noChangeArrowheads="1"/>
                    </pic:cNvPicPr>
                  </pic:nvPicPr>
                  <pic:blipFill>
                    <a:blip r:embed="rId6"/>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эксцентриситет продольной силы, определяемый по главе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Для промежуточных значений</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величина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j</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определяется по интерполяции.</w:t>
      </w:r>
      <w:r w:rsidRPr="00A4614F">
        <w:rPr>
          <w:rFonts w:ascii="Verdana" w:eastAsia="Times New Roman" w:hAnsi="Verdana" w:cs="Times New Roman"/>
          <w:color w:val="333333"/>
          <w:sz w:val="18"/>
          <w:szCs w:val="18"/>
          <w:lang w:eastAsia="ru-RU"/>
        </w:rPr>
        <w:br/>
        <w:t>Применение сжатых конструкций с</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h </w:t>
      </w:r>
      <w:r w:rsidRPr="00A4614F">
        <w:rPr>
          <w:rFonts w:ascii="Verdana" w:eastAsia="Times New Roman" w:hAnsi="Verdana" w:cs="Times New Roman"/>
          <w:color w:val="333333"/>
          <w:sz w:val="18"/>
          <w:szCs w:val="18"/>
          <w:lang w:eastAsia="ru-RU"/>
        </w:rPr>
        <w:t>&gt; 15 не допускается.</w:t>
      </w:r>
      <w:r w:rsidRPr="00A4614F">
        <w:rPr>
          <w:rFonts w:ascii="Verdana" w:eastAsia="Times New Roman" w:hAnsi="Verdana" w:cs="Times New Roman"/>
          <w:color w:val="333333"/>
          <w:sz w:val="18"/>
          <w:szCs w:val="18"/>
          <w:lang w:eastAsia="ru-RU"/>
        </w:rPr>
        <w:br/>
        <w:t>3.33. При определении коэффициента</w:t>
      </w:r>
      <w:r w:rsidRPr="00A4614F">
        <w:rPr>
          <w:rFonts w:ascii="Verdana" w:eastAsia="Times New Roman" w:hAnsi="Verdana" w:cs="Times New Roman"/>
          <w:color w:val="333333"/>
          <w:sz w:val="18"/>
          <w:lang w:eastAsia="ru-RU"/>
        </w:rPr>
        <w:t> </w:t>
      </w:r>
      <w:r>
        <w:rPr>
          <w:rFonts w:ascii="Verdana" w:eastAsia="Times New Roman" w:hAnsi="Verdana" w:cs="Times New Roman"/>
          <w:i/>
          <w:iCs/>
          <w:noProof/>
          <w:color w:val="333333"/>
          <w:sz w:val="18"/>
          <w:szCs w:val="18"/>
          <w:lang w:eastAsia="ru-RU"/>
        </w:rPr>
        <w:drawing>
          <wp:inline distT="0" distB="0" distL="0" distR="0">
            <wp:extent cx="152400" cy="142875"/>
            <wp:effectExtent l="19050" t="0" r="0" b="0"/>
            <wp:docPr id="7" name="Рисунок 7"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рболит"/>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расчетную длину (высоту) стен</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принимают в соответствии с главой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Если прочность однослойных блоков или панелей, рассчитываемых по формуле (4), окажется недостаточной, следует применять трехслойные элементы из арболита и бетона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а</w:t>
      </w:r>
      <w:r w:rsidRPr="00A4614F">
        <w:rPr>
          <w:rFonts w:ascii="Verdana" w:eastAsia="Times New Roman" w:hAnsi="Verdana" w:cs="Times New Roman"/>
          <w:color w:val="333333"/>
          <w:sz w:val="18"/>
          <w:szCs w:val="18"/>
          <w:lang w:eastAsia="ru-RU"/>
        </w:rPr>
        <w:t>). При этом толщина бетонных слоев должна быть принята не менее 3 см с каждой стороны. Трехслойные блоки и панели рассчитывают по формуле (4), в которой значения</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принимаются с коэффициентом условий работ</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Ybc</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Значения коэффициента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необходимо принимать: при классе бетона В 15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1,3; при классе бетона В 20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Ybc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1,4.</w:t>
      </w:r>
      <w:r w:rsidRPr="00A4614F">
        <w:rPr>
          <w:rFonts w:ascii="Verdana" w:eastAsia="Times New Roman" w:hAnsi="Verdana" w:cs="Times New Roman"/>
          <w:color w:val="333333"/>
          <w:sz w:val="18"/>
          <w:szCs w:val="18"/>
          <w:lang w:eastAsia="ru-RU"/>
        </w:rPr>
        <w:br/>
        <w:t>3.34. При проверке прочности опорных сечений стены (из панелей или блоков), примыкающих к горизонтальным монтажным швам, влияние контактного шва и глубины опирания плит перекрытий учитывают умножением</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на коэффициент</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Km</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определяемый по формуле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2905125" cy="638175"/>
            <wp:effectExtent l="19050" t="0" r="9525" b="0"/>
            <wp:docPr id="8" name="Рисунок 8" descr="http://www.arbolit.net/images/snip/sni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bolit.net/images/snip/snip6.gif"/>
                    <pic:cNvPicPr>
                      <a:picLocks noChangeAspect="1" noChangeArrowheads="1"/>
                    </pic:cNvPicPr>
                  </pic:nvPicPr>
                  <pic:blipFill>
                    <a:blip r:embed="rId6"/>
                    <a:srcRect/>
                    <a:stretch>
                      <a:fillRect/>
                    </a:stretch>
                  </pic:blipFill>
                  <pic:spPr bwMode="auto">
                    <a:xfrm>
                      <a:off x="0" y="0"/>
                      <a:ext cx="2905125" cy="6381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(5)</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1 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2 – глубина заделки соответственно каждого из перекрытий, опирающихся на стены с обеих сторон; при одностороннем опирании перекрытий на однослойные стены</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1 обозначает глубину заделки перекрытия, 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2 – ширину остальной части заполненного раствором горизонтального шва, за вычетом толщины вертикального шва у торца перекрытия;</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толщина однослойной стеновой панели (блока);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В</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В</w:t>
      </w:r>
      <w:r w:rsidRPr="00A4614F">
        <w:rPr>
          <w:rFonts w:ascii="Verdana" w:eastAsia="Times New Roman" w:hAnsi="Verdana" w:cs="Times New Roman"/>
          <w:color w:val="333333"/>
          <w:sz w:val="18"/>
          <w:szCs w:val="18"/>
          <w:lang w:eastAsia="ru-RU"/>
        </w:rPr>
        <w:t>’ – класс арболита и раствора (бетона) соответственно по прочности на сжатие;</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К</w:t>
      </w:r>
      <w:r w:rsidRPr="00A4614F">
        <w:rPr>
          <w:rFonts w:ascii="Verdana" w:eastAsia="Times New Roman" w:hAnsi="Verdana" w:cs="Times New Roman"/>
          <w:color w:val="333333"/>
          <w:sz w:val="18"/>
          <w:szCs w:val="18"/>
          <w:lang w:eastAsia="ru-RU"/>
        </w:rPr>
        <w:t>3 – коэффициент, учитывающий влияние монтажа в зимних условиях на несущую способность стены в любом возрасте; при монтаже стен в зимних условиях</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К</w:t>
      </w:r>
      <w:r w:rsidRPr="00A4614F">
        <w:rPr>
          <w:rFonts w:ascii="Verdana" w:eastAsia="Times New Roman" w:hAnsi="Verdana" w:cs="Times New Roman"/>
          <w:color w:val="333333"/>
          <w:sz w:val="18"/>
          <w:szCs w:val="18"/>
          <w:lang w:eastAsia="ru-RU"/>
        </w:rPr>
        <w:t>3 = 0,8, в летних условиях</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К</w:t>
      </w:r>
      <w:r w:rsidRPr="00A4614F">
        <w:rPr>
          <w:rFonts w:ascii="Verdana" w:eastAsia="Times New Roman" w:hAnsi="Verdana" w:cs="Times New Roman"/>
          <w:color w:val="333333"/>
          <w:sz w:val="18"/>
          <w:szCs w:val="18"/>
          <w:lang w:eastAsia="ru-RU"/>
        </w:rPr>
        <w:t>3 = 1.</w:t>
      </w:r>
      <w:r w:rsidRPr="00A4614F">
        <w:rPr>
          <w:rFonts w:ascii="Verdana" w:eastAsia="Times New Roman" w:hAnsi="Verdana" w:cs="Times New Roman"/>
          <w:color w:val="333333"/>
          <w:sz w:val="18"/>
          <w:szCs w:val="18"/>
          <w:lang w:eastAsia="ru-RU"/>
        </w:rPr>
        <w:br/>
        <w:t>Если перекрытия не пересекают стену и нагрузка передается через заполненный раствором шов, влияние монтажного шва учитывают формулой (5), принимая</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1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2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d</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Указания, приведенные в настоящем пункте, относятся к случаям когда все монтажные швы заполнены раствором и толщина горизонтальных швов не превышает 25 мм, вертикальных – 50 мм.</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Изгибаемые элементы</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3.35. Однослойные изгибаемые элементы (неармированные или с монтажной арматурой) рассчитывают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771525" cy="200025"/>
            <wp:effectExtent l="19050" t="0" r="9525" b="0"/>
            <wp:docPr id="9" name="Рисунок 9" descr="арболитовые 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рболитовые блоки"/>
                    <pic:cNvPicPr>
                      <a:picLocks noChangeAspect="1" noChangeArrowheads="1"/>
                    </pic:cNvPicPr>
                  </pic:nvPicPr>
                  <pic:blipFill>
                    <a:blip r:embed="rId6"/>
                    <a:srcRect/>
                    <a:stretch>
                      <a:fillRect/>
                    </a:stretch>
                  </pic:blipFill>
                  <pic:spPr bwMode="auto">
                    <a:xfrm>
                      <a:off x="0" y="0"/>
                      <a:ext cx="771525" cy="2000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(6)</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Wpl</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момент сопротивления, определяемый с учетом неупругих свойств арболита.</w:t>
      </w:r>
      <w:r w:rsidRPr="00A4614F">
        <w:rPr>
          <w:rFonts w:ascii="Verdana" w:eastAsia="Times New Roman" w:hAnsi="Verdana" w:cs="Times New Roman"/>
          <w:color w:val="333333"/>
          <w:sz w:val="18"/>
          <w:szCs w:val="18"/>
          <w:lang w:eastAsia="ru-RU"/>
        </w:rPr>
        <w:br/>
        <w:t>Элементы прямоугольного сечения рассчитываются по формуле</w:t>
      </w:r>
      <w:r w:rsidRPr="00A4614F">
        <w:rPr>
          <w:rFonts w:ascii="Verdana" w:eastAsia="Times New Roman" w:hAnsi="Verdana" w:cs="Times New Roman"/>
          <w:color w:val="333333"/>
          <w:sz w:val="18"/>
          <w:szCs w:val="18"/>
          <w:lang w:eastAsia="ru-RU"/>
        </w:rPr>
        <w:br/>
        <w:t> </w:t>
      </w:r>
      <w:r>
        <w:rPr>
          <w:rFonts w:ascii="Verdana" w:eastAsia="Times New Roman" w:hAnsi="Verdana" w:cs="Times New Roman"/>
          <w:noProof/>
          <w:color w:val="333333"/>
          <w:sz w:val="18"/>
          <w:szCs w:val="18"/>
          <w:lang w:eastAsia="ru-RU"/>
        </w:rPr>
        <w:drawing>
          <wp:inline distT="0" distB="0" distL="0" distR="0">
            <wp:extent cx="723900" cy="314325"/>
            <wp:effectExtent l="19050" t="0" r="0" b="0"/>
            <wp:docPr id="10" name="Рисунок 10"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рболит"/>
                    <pic:cNvPicPr>
                      <a:picLocks noChangeAspect="1" noChangeArrowheads="1"/>
                    </pic:cNvPicPr>
                  </pic:nvPicPr>
                  <pic:blipFill>
                    <a:blip r:embed="rId6"/>
                    <a:srcRect/>
                    <a:stretch>
                      <a:fillRect/>
                    </a:stretch>
                  </pic:blipFill>
                  <pic:spPr bwMode="auto">
                    <a:xfrm>
                      <a:off x="0" y="0"/>
                      <a:ext cx="723900" cy="3143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(7)</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Rbt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расчетное сопротивление арболита при осевом растяжении, принимаемое по табл. 2 настоящей Инструкции;</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ширина и высота поперечного сечения, см.</w:t>
      </w:r>
      <w:r w:rsidRPr="00A4614F">
        <w:rPr>
          <w:rFonts w:ascii="Verdana" w:eastAsia="Times New Roman" w:hAnsi="Verdana" w:cs="Times New Roman"/>
          <w:color w:val="333333"/>
          <w:sz w:val="18"/>
          <w:szCs w:val="18"/>
          <w:lang w:eastAsia="ru-RU"/>
        </w:rPr>
        <w:br/>
        <w:t>3.36. Конструктивную арматуру в однослойном изгибаемом элементе учитывают путем определения дополнительного момента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М’</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по формулам:</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447675" cy="314325"/>
            <wp:effectExtent l="19050" t="0" r="9525" b="0"/>
            <wp:docPr id="11" name="Рисунок 11"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рболит"/>
                    <pic:cNvPicPr>
                      <a:picLocks noChangeAspect="1" noChangeArrowheads="1"/>
                    </pic:cNvPicPr>
                  </pic:nvPicPr>
                  <pic:blipFill>
                    <a:blip r:embed="rId6"/>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(8)</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lastRenderedPageBreak/>
        <w:drawing>
          <wp:inline distT="0" distB="0" distL="0" distR="0">
            <wp:extent cx="876300" cy="333375"/>
            <wp:effectExtent l="19050" t="0" r="0" b="0"/>
            <wp:docPr id="12" name="Рисунок 12"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рболит"/>
                    <pic:cNvPicPr>
                      <a:picLocks noChangeAspect="1" noChangeArrowheads="1"/>
                    </pic:cNvPicPr>
                  </pic:nvPicPr>
                  <pic:blipFill>
                    <a:blip r:embed="rId6"/>
                    <a:srcRect/>
                    <a:stretch>
                      <a:fillRect/>
                    </a:stretch>
                  </pic:blipFill>
                  <pic:spPr bwMode="auto">
                    <a:xfrm>
                      <a:off x="0" y="0"/>
                      <a:ext cx="876300" cy="3333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(9)</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Аs</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площадь сечения растянутой арматуры;</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Rs</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расчетное сопротивление арматуры класса А-II или Вр-I, в однослойном элементе, принимаемое не выше 180 МПа.</w:t>
      </w:r>
      <w:r w:rsidRPr="00A4614F">
        <w:rPr>
          <w:rFonts w:ascii="Verdana" w:eastAsia="Times New Roman" w:hAnsi="Verdana" w:cs="Times New Roman"/>
          <w:color w:val="333333"/>
          <w:sz w:val="18"/>
          <w:szCs w:val="18"/>
          <w:lang w:eastAsia="ru-RU"/>
        </w:rPr>
        <w:br/>
        <w:t>При этом прочность такого изгибаемого элемента проверяется из условия</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771525" cy="200025"/>
            <wp:effectExtent l="19050" t="0" r="9525" b="0"/>
            <wp:docPr id="13" name="Рисунок 13"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рболит"/>
                    <pic:cNvPicPr>
                      <a:picLocks noChangeAspect="1" noChangeArrowheads="1"/>
                    </pic:cNvPicPr>
                  </pic:nvPicPr>
                  <pic:blipFill>
                    <a:blip r:embed="rId6"/>
                    <a:srcRect/>
                    <a:stretch>
                      <a:fillRect/>
                    </a:stretch>
                  </pic:blipFill>
                  <pic:spPr bwMode="auto">
                    <a:xfrm>
                      <a:off x="0" y="0"/>
                      <a:ext cx="771525" cy="2000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M’</w:t>
      </w:r>
      <w:r w:rsidRPr="00A4614F">
        <w:rPr>
          <w:rFonts w:ascii="Verdana" w:eastAsia="Times New Roman" w:hAnsi="Verdana" w:cs="Times New Roman"/>
          <w:color w:val="333333"/>
          <w:sz w:val="18"/>
          <w:szCs w:val="18"/>
          <w:lang w:eastAsia="ru-RU"/>
        </w:rPr>
        <w:t>,                                                                                           (10)</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М</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действующий внешний расчетный изгибающий момент.</w:t>
      </w:r>
      <w:r w:rsidRPr="00A4614F">
        <w:rPr>
          <w:rFonts w:ascii="Verdana" w:eastAsia="Times New Roman" w:hAnsi="Verdana" w:cs="Times New Roman"/>
          <w:color w:val="333333"/>
          <w:sz w:val="18"/>
          <w:szCs w:val="18"/>
          <w:lang w:eastAsia="ru-RU"/>
        </w:rPr>
        <w:br/>
        <w:t>3.37. В плитах покрытий и перекрытий, а также в навесных перемычечных стеновых панелях рабочую арматуру необходимо располагать в соответствии с п. 3.2. Конструктивные решения таких элементов приведены на рис. 1.</w:t>
      </w:r>
      <w:r w:rsidRPr="00A4614F">
        <w:rPr>
          <w:rFonts w:ascii="Verdana" w:eastAsia="Times New Roman" w:hAnsi="Verdana" w:cs="Times New Roman"/>
          <w:color w:val="333333"/>
          <w:sz w:val="18"/>
          <w:szCs w:val="18"/>
          <w:lang w:eastAsia="ru-RU"/>
        </w:rPr>
        <w:br/>
        <w:t>3.38. Прочность изгибаемых элементов составных сечений рассчитывают по нормальным сечениям и на сдвиг слоев относительно друг друга.</w:t>
      </w:r>
      <w:r w:rsidRPr="00A4614F">
        <w:rPr>
          <w:rFonts w:ascii="Verdana" w:eastAsia="Times New Roman" w:hAnsi="Verdana" w:cs="Times New Roman"/>
          <w:color w:val="333333"/>
          <w:sz w:val="18"/>
          <w:szCs w:val="18"/>
          <w:lang w:eastAsia="ru-RU"/>
        </w:rPr>
        <w:br/>
        <w:t>3.39. Прочность изгибаемых составных элементов по нормальным сечениям рассчитывают из условия</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143000" cy="333375"/>
            <wp:effectExtent l="19050" t="0" r="0" b="0"/>
            <wp:docPr id="14" name="Рисунок 14"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рболит"/>
                    <pic:cNvPicPr>
                      <a:picLocks noChangeAspect="1" noChangeArrowheads="1"/>
                    </pic:cNvPicPr>
                  </pic:nvPicPr>
                  <pic:blipFill>
                    <a:blip r:embed="rId6"/>
                    <a:srcRect/>
                    <a:stretch>
                      <a:fillRect/>
                    </a:stretch>
                  </pic:blipFill>
                  <pic:spPr bwMode="auto">
                    <a:xfrm>
                      <a:off x="0" y="0"/>
                      <a:ext cx="1143000" cy="3333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(11)</w:t>
      </w:r>
      <w:r w:rsidRPr="00A4614F">
        <w:rPr>
          <w:rFonts w:ascii="Verdana" w:eastAsia="Times New Roman" w:hAnsi="Verdana" w:cs="Times New Roman"/>
          <w:color w:val="333333"/>
          <w:sz w:val="18"/>
          <w:szCs w:val="18"/>
          <w:lang w:eastAsia="ru-RU"/>
        </w:rPr>
        <w:br/>
        <w:t>Положение нейтральной оси (высота сжатой зоны</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х</w:t>
      </w:r>
      <w:r w:rsidRPr="00A4614F">
        <w:rPr>
          <w:rFonts w:ascii="Verdana" w:eastAsia="Times New Roman" w:hAnsi="Verdana" w:cs="Times New Roman"/>
          <w:color w:val="333333"/>
          <w:sz w:val="18"/>
          <w:szCs w:val="18"/>
          <w:lang w:eastAsia="ru-RU"/>
        </w:rPr>
        <w:t>) определяется из выражения</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571500" cy="342900"/>
            <wp:effectExtent l="19050" t="0" r="0" b="0"/>
            <wp:docPr id="15" name="Рисунок 15"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рболит"/>
                    <pic:cNvPicPr>
                      <a:picLocks noChangeAspect="1" noChangeArrowheads="1"/>
                    </pic:cNvPicPr>
                  </pic:nvPicPr>
                  <pic:blipFill>
                    <a:blip r:embed="rId6"/>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(12)</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Аs</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площадь сечения рабочей арматуры, расположенной в бетоне растянутой зоны;</w:t>
      </w:r>
      <w:r w:rsidRPr="00A4614F">
        <w:rPr>
          <w:rFonts w:ascii="Verdana" w:eastAsia="Times New Roman" w:hAnsi="Verdana" w:cs="Times New Roman"/>
          <w:i/>
          <w:iCs/>
          <w:color w:val="333333"/>
          <w:sz w:val="18"/>
          <w:lang w:eastAsia="ru-RU"/>
        </w:rPr>
        <w:t> bf </w:t>
      </w:r>
      <w:r w:rsidRPr="00A4614F">
        <w:rPr>
          <w:rFonts w:ascii="Verdana" w:eastAsia="Times New Roman" w:hAnsi="Verdana" w:cs="Times New Roman"/>
          <w:color w:val="333333"/>
          <w:sz w:val="18"/>
          <w:szCs w:val="18"/>
          <w:lang w:eastAsia="ru-RU"/>
        </w:rPr>
        <w:t>– ширина слоя из бетона, расположенного в сжатой зоне.</w:t>
      </w:r>
      <w:r w:rsidRPr="00A4614F">
        <w:rPr>
          <w:rFonts w:ascii="Verdana" w:eastAsia="Times New Roman" w:hAnsi="Verdana" w:cs="Times New Roman"/>
          <w:color w:val="333333"/>
          <w:sz w:val="18"/>
          <w:szCs w:val="18"/>
          <w:lang w:eastAsia="ru-RU"/>
        </w:rPr>
        <w:br/>
        <w:t>При этом во всех случаях должно соблюдаться условие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x&lt;=hf</w:t>
      </w:r>
      <w:r w:rsidRPr="00A4614F">
        <w:rPr>
          <w:rFonts w:ascii="Verdana" w:eastAsia="Times New Roman" w:hAnsi="Verdana" w:cs="Times New Roman"/>
          <w:color w:val="333333"/>
          <w:sz w:val="18"/>
          <w:szCs w:val="18"/>
          <w:lang w:eastAsia="ru-RU"/>
        </w:rPr>
        <w:t> (где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hf</w:t>
      </w:r>
      <w:r w:rsidRPr="00A4614F">
        <w:rPr>
          <w:rFonts w:ascii="Verdana" w:eastAsia="Times New Roman" w:hAnsi="Verdana" w:cs="Times New Roman"/>
          <w:color w:val="333333"/>
          <w:sz w:val="18"/>
          <w:szCs w:val="18"/>
          <w:lang w:eastAsia="ru-RU"/>
        </w:rPr>
        <w:t> толщина верхнего слоя из бетона). Виды и классы бетона слоев и классы арматуры принимаются в соответствии с п. 2.17 и п. 3.2 настоящей Инструкции. Расчетные сопротивления бетона слоев и арматуры принимаются по главе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3.40. Прочность изгибаемых слоистых элементов на сдвиг слоев рассчитывают из условия</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828675" cy="219075"/>
            <wp:effectExtent l="19050" t="0" r="9525" b="0"/>
            <wp:docPr id="16" name="Рисунок 16" descr="http://www.arbolit.net/images/snip/sni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bolit.net/images/snip/snip13.gif"/>
                    <pic:cNvPicPr>
                      <a:picLocks noChangeAspect="1" noChangeArrowheads="1"/>
                    </pic:cNvPicPr>
                  </pic:nvPicPr>
                  <pic:blipFill>
                    <a:blip r:embed="rId6"/>
                    <a:srcRect/>
                    <a:stretch>
                      <a:fillRect/>
                    </a:stretch>
                  </pic:blipFill>
                  <pic:spPr bwMode="auto">
                    <a:xfrm>
                      <a:off x="0" y="0"/>
                      <a:ext cx="828675" cy="2190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(13)</w:t>
      </w:r>
      <w:r w:rsidRPr="00A4614F">
        <w:rPr>
          <w:rFonts w:ascii="Verdana" w:eastAsia="Times New Roman" w:hAnsi="Verdana" w:cs="Times New Roman"/>
          <w:color w:val="333333"/>
          <w:sz w:val="18"/>
          <w:szCs w:val="18"/>
          <w:lang w:eastAsia="ru-RU"/>
        </w:rPr>
        <w:br/>
        <w:t>3.41. Прочность по наклонным сечениям на сдвиг слоев изгибаемых элементов с боковыми несущими гранями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е</w:t>
      </w:r>
      <w:r w:rsidRPr="00A4614F">
        <w:rPr>
          <w:rFonts w:ascii="Verdana" w:eastAsia="Times New Roman" w:hAnsi="Verdana" w:cs="Times New Roman"/>
          <w:color w:val="333333"/>
          <w:sz w:val="18"/>
          <w:szCs w:val="18"/>
          <w:lang w:eastAsia="ru-RU"/>
        </w:rPr>
        <w:t>) рассчитывают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828675" cy="219075"/>
            <wp:effectExtent l="19050" t="0" r="9525" b="0"/>
            <wp:docPr id="17" name="Рисунок 17" descr="http://www.arbolit.net/images/snip/sni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bolit.net/images/snip/snip13.gif"/>
                    <pic:cNvPicPr>
                      <a:picLocks noChangeAspect="1" noChangeArrowheads="1"/>
                    </pic:cNvPicPr>
                  </pic:nvPicPr>
                  <pic:blipFill>
                    <a:blip r:embed="rId6"/>
                    <a:srcRect/>
                    <a:stretch>
                      <a:fillRect/>
                    </a:stretch>
                  </pic:blipFill>
                  <pic:spPr bwMode="auto">
                    <a:xfrm>
                      <a:off x="0" y="0"/>
                      <a:ext cx="828675" cy="2190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(14)</w:t>
      </w:r>
      <w:r w:rsidRPr="00A4614F">
        <w:rPr>
          <w:rFonts w:ascii="Verdana" w:eastAsia="Times New Roman" w:hAnsi="Verdana" w:cs="Times New Roman"/>
          <w:color w:val="333333"/>
          <w:sz w:val="18"/>
          <w:szCs w:val="18"/>
          <w:lang w:eastAsia="ru-RU"/>
        </w:rPr>
        <w:br/>
        <w:t>где Rbt – расчетное сопротивление бетона на растяжение, принимаемое в соответствии с главой СНиП по проектированию бетонных и железобетонных конструкций;</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суммарная ширина боковых граней.</w:t>
      </w:r>
      <w:r w:rsidRPr="00A4614F">
        <w:rPr>
          <w:rFonts w:ascii="Verdana" w:eastAsia="Times New Roman" w:hAnsi="Verdana" w:cs="Times New Roman"/>
          <w:color w:val="333333"/>
          <w:sz w:val="18"/>
          <w:szCs w:val="18"/>
          <w:lang w:eastAsia="ru-RU"/>
        </w:rPr>
        <w:br/>
        <w:t>При невыполнении условия (14) в боковых несущих гранях предусматривается поперечная арматура (хомуты), и прочность по наклонным сечениям боковых граней рассчитывают в соответствии с главой СНиП по проектированию бетонных и железобетонных конструкций как для таврового элемента без учета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Расчет на местное сжатие (смятие)</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3.42. Расчет на местное сжатие производится по формуле</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N&lt;=MlocAlocRloc</w:t>
      </w:r>
      <w:r w:rsidRPr="00A4614F">
        <w:rPr>
          <w:rFonts w:ascii="Verdana" w:eastAsia="Times New Roman" w:hAnsi="Verdana" w:cs="Times New Roman"/>
          <w:color w:val="333333"/>
          <w:sz w:val="18"/>
          <w:szCs w:val="18"/>
          <w:lang w:eastAsia="ru-RU"/>
        </w:rPr>
        <w:t>,                                                                                             (15)</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N</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расчетная нагрузка, приложенная к части рассматриваемого сечения (местная или сумма местной и основной нагрузок);</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Аloc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площадь смятия под поверхностью;</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Mloc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коэффициент, зависящий от равномерности распределения нагрузки и площади опорной поверхности: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Mloc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1 при опирании на выравнивающий слой из раствора 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Mloc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0,8 при опирании без выравнивающего слоя;</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Rloc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расчетное сопротивление местному сжатию арболита, определяемое по формуле</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Rloc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BbRb</w:t>
      </w:r>
      <w:r w:rsidRPr="00A4614F">
        <w:rPr>
          <w:rFonts w:ascii="Verdana" w:eastAsia="Times New Roman" w:hAnsi="Verdana" w:cs="Times New Roman"/>
          <w:color w:val="333333"/>
          <w:sz w:val="18"/>
          <w:szCs w:val="18"/>
          <w:lang w:eastAsia="ru-RU"/>
        </w:rPr>
        <w:t>,                                                                                                            (16)</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коэффициент, зависящий от места приложения нагрузки на элемент (рис. 2). При схемах</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б</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Bb</w:t>
      </w:r>
      <w:r w:rsidRPr="00A4614F">
        <w:rPr>
          <w:rFonts w:ascii="Verdana" w:eastAsia="Times New Roman" w:hAnsi="Verdana" w:cs="Times New Roman"/>
          <w:color w:val="333333"/>
          <w:sz w:val="18"/>
          <w:szCs w:val="18"/>
          <w:lang w:eastAsia="ru-RU"/>
        </w:rPr>
        <w:t>  = 1,5; при схеме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в</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1,2; при схемах</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г</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Bb</w:t>
      </w:r>
      <w:r w:rsidRPr="00A4614F">
        <w:rPr>
          <w:rFonts w:ascii="Verdana" w:eastAsia="Times New Roman" w:hAnsi="Verdana" w:cs="Times New Roman"/>
          <w:color w:val="333333"/>
          <w:sz w:val="18"/>
          <w:szCs w:val="18"/>
          <w:lang w:eastAsia="ru-RU"/>
        </w:rPr>
        <w:t>  = 0,8.</w:t>
      </w:r>
      <w:r w:rsidRPr="00A4614F">
        <w:rPr>
          <w:rFonts w:ascii="Verdana" w:eastAsia="Times New Roman" w:hAnsi="Verdana" w:cs="Times New Roman"/>
          <w:color w:val="333333"/>
          <w:sz w:val="18"/>
          <w:szCs w:val="18"/>
          <w:lang w:eastAsia="ru-RU"/>
        </w:rPr>
        <w:br/>
        <w:t xml:space="preserve">Если прочность однослойных элементов на смятие, рассчитанных по формуле (15), окажется </w:t>
      </w:r>
      <w:r w:rsidRPr="00A4614F">
        <w:rPr>
          <w:rFonts w:ascii="Verdana" w:eastAsia="Times New Roman" w:hAnsi="Verdana" w:cs="Times New Roman"/>
          <w:color w:val="333333"/>
          <w:sz w:val="18"/>
          <w:szCs w:val="18"/>
          <w:lang w:eastAsia="ru-RU"/>
        </w:rPr>
        <w:lastRenderedPageBreak/>
        <w:t>недостаточной, необходимо применять слоистые элементы из арболита и бетона (см.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б</w:t>
      </w:r>
      <w:r w:rsidRPr="00A4614F">
        <w:rPr>
          <w:rFonts w:ascii="Verdana" w:eastAsia="Times New Roman" w:hAnsi="Verdana" w:cs="Times New Roman"/>
          <w:color w:val="333333"/>
          <w:sz w:val="18"/>
          <w:szCs w:val="18"/>
          <w:lang w:eastAsia="ru-RU"/>
        </w:rPr>
        <w:t>). При этом толщина бетонного слоя должна быть не менее 3 см.</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drawing>
          <wp:inline distT="0" distB="0" distL="0" distR="0">
            <wp:extent cx="3181350" cy="1752600"/>
            <wp:effectExtent l="0" t="0" r="0" b="0"/>
            <wp:docPr id="18" name="Рисунок 18" descr="http://www.arbolit.net/images/snip/snip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bolit.net/images/snip/snip14.gif"/>
                    <pic:cNvPicPr>
                      <a:picLocks noChangeAspect="1" noChangeArrowheads="1"/>
                    </pic:cNvPicPr>
                  </pic:nvPicPr>
                  <pic:blipFill>
                    <a:blip r:embed="rId6"/>
                    <a:srcRect/>
                    <a:stretch>
                      <a:fillRect/>
                    </a:stretch>
                  </pic:blipFill>
                  <pic:spPr bwMode="auto">
                    <a:xfrm>
                      <a:off x="0" y="0"/>
                      <a:ext cx="3181350" cy="17526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br/>
        <w:t>Расчет слоистых элементов на смятие может быть выполнен по формуле (15), в которой значение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Rloc</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принимается с коэффициентами условия работы при классе бетона по прочности на сжатие равными:</w:t>
      </w:r>
      <w:r w:rsidRPr="00A4614F">
        <w:rPr>
          <w:rFonts w:ascii="Verdana" w:eastAsia="Times New Roman" w:hAnsi="Verdana" w:cs="Times New Roman"/>
          <w:color w:val="333333"/>
          <w:sz w:val="18"/>
          <w:szCs w:val="18"/>
          <w:lang w:eastAsia="ru-RU"/>
        </w:rPr>
        <w:br/>
        <w:t>В15                 Ybc = 1,4;</w:t>
      </w:r>
      <w:r w:rsidRPr="00A4614F">
        <w:rPr>
          <w:rFonts w:ascii="Verdana" w:eastAsia="Times New Roman" w:hAnsi="Verdana" w:cs="Times New Roman"/>
          <w:color w:val="333333"/>
          <w:sz w:val="18"/>
          <w:szCs w:val="18"/>
          <w:lang w:eastAsia="ru-RU"/>
        </w:rPr>
        <w:br/>
        <w:t>В20                 Ybc = 1,5;</w:t>
      </w:r>
      <w:r w:rsidRPr="00A4614F">
        <w:rPr>
          <w:rFonts w:ascii="Verdana" w:eastAsia="Times New Roman" w:hAnsi="Verdana" w:cs="Times New Roman"/>
          <w:color w:val="333333"/>
          <w:sz w:val="18"/>
          <w:szCs w:val="18"/>
          <w:lang w:eastAsia="ru-RU"/>
        </w:rPr>
        <w:br/>
        <w:t>В25                 Ybc = 1,6.</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Расчет на продавливание</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3.43. Расчет на продавливание однослойных плит из арболита от местных нагрузок производится из условия</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P</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&lt;=0,4</w:t>
      </w:r>
      <w:r w:rsidRPr="00A4614F">
        <w:rPr>
          <w:rFonts w:ascii="Verdana" w:eastAsia="Times New Roman" w:hAnsi="Verdana" w:cs="Times New Roman"/>
          <w:i/>
          <w:iCs/>
          <w:color w:val="333333"/>
          <w:sz w:val="18"/>
          <w:lang w:eastAsia="ru-RU"/>
        </w:rPr>
        <w:t>RbtUmh</w:t>
      </w:r>
      <w:r w:rsidRPr="00A4614F">
        <w:rPr>
          <w:rFonts w:ascii="Verdana" w:eastAsia="Times New Roman" w:hAnsi="Verdana" w:cs="Times New Roman"/>
          <w:color w:val="333333"/>
          <w:sz w:val="18"/>
          <w:lang w:eastAsia="ru-RU"/>
        </w:rPr>
        <w:t>0</w:t>
      </w:r>
      <w:r w:rsidRPr="00A4614F">
        <w:rPr>
          <w:rFonts w:ascii="Verdana" w:eastAsia="Times New Roman" w:hAnsi="Verdana" w:cs="Times New Roman"/>
          <w:color w:val="333333"/>
          <w:sz w:val="18"/>
          <w:szCs w:val="18"/>
          <w:lang w:eastAsia="ru-RU"/>
        </w:rPr>
        <w:t>,                                                                                                (17)</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Р</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расчетная продавливающая сила;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Um</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среднее арифметическое величин периметров верхнего и нижнего оснований пирамиды, образующейся при продавливании в пределах рабочей высоты сечения</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(рис. 3).</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Um </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u</w:t>
      </w:r>
      <w:r w:rsidRPr="00A4614F">
        <w:rPr>
          <w:rFonts w:ascii="Verdana" w:eastAsia="Times New Roman" w:hAnsi="Verdana" w:cs="Times New Roman"/>
          <w:color w:val="333333"/>
          <w:sz w:val="18"/>
          <w:szCs w:val="18"/>
          <w:lang w:eastAsia="ru-RU"/>
        </w:rPr>
        <w:t>1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u</w:t>
      </w:r>
      <w:r w:rsidRPr="00A4614F">
        <w:rPr>
          <w:rFonts w:ascii="Verdana" w:eastAsia="Times New Roman" w:hAnsi="Verdana" w:cs="Times New Roman"/>
          <w:color w:val="333333"/>
          <w:sz w:val="18"/>
          <w:szCs w:val="18"/>
          <w:lang w:eastAsia="ru-RU"/>
        </w:rPr>
        <w:t>2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u</w:t>
      </w:r>
      <w:r w:rsidRPr="00A4614F">
        <w:rPr>
          <w:rFonts w:ascii="Verdana" w:eastAsia="Times New Roman" w:hAnsi="Verdana" w:cs="Times New Roman"/>
          <w:color w:val="333333"/>
          <w:sz w:val="18"/>
          <w:szCs w:val="18"/>
          <w:lang w:eastAsia="ru-RU"/>
        </w:rPr>
        <w:t>3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u</w:t>
      </w:r>
      <w:r w:rsidRPr="00A4614F">
        <w:rPr>
          <w:rFonts w:ascii="Verdana" w:eastAsia="Times New Roman" w:hAnsi="Verdana" w:cs="Times New Roman"/>
          <w:color w:val="333333"/>
          <w:sz w:val="18"/>
          <w:szCs w:val="18"/>
          <w:lang w:eastAsia="ru-RU"/>
        </w:rPr>
        <w:t>4.                                                                                             (18)</w:t>
      </w:r>
      <w:r w:rsidRPr="00A4614F">
        <w:rPr>
          <w:rFonts w:ascii="Verdana" w:eastAsia="Times New Roman" w:hAnsi="Verdana" w:cs="Times New Roman"/>
          <w:color w:val="333333"/>
          <w:sz w:val="18"/>
          <w:szCs w:val="18"/>
          <w:lang w:eastAsia="ru-RU"/>
        </w:rPr>
        <w:br/>
        <w:t>При определении величины</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Um</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предполагается, что продавливание происходит по боковой поверхности пирамиды, меньшим основанием которой служит площадь действия продавливающей силы, а боковые грани наклонены под углом 45° к горизонтали (см. рис. 3).</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2619375" cy="2724150"/>
            <wp:effectExtent l="0" t="0" r="0" b="0"/>
            <wp:docPr id="19" name="Рисунок 19"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рболит"/>
                    <pic:cNvPicPr>
                      <a:picLocks noChangeAspect="1" noChangeArrowheads="1"/>
                    </pic:cNvPicPr>
                  </pic:nvPicPr>
                  <pic:blipFill>
                    <a:blip r:embed="rId6"/>
                    <a:srcRect/>
                    <a:stretch>
                      <a:fillRect/>
                    </a:stretch>
                  </pic:blipFill>
                  <pic:spPr bwMode="auto">
                    <a:xfrm>
                      <a:off x="0" y="0"/>
                      <a:ext cx="2619375" cy="272415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br/>
        <w:t>3.44. Одновременно с расчетом на продавливание плиты при больших толщинах (</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szCs w:val="18"/>
          <w:lang w:eastAsia="ru-RU"/>
        </w:rPr>
        <w:t>&gt;15 см) проверяют на прочность по смятию согласно п. 3.42.</w:t>
      </w:r>
      <w:r w:rsidRPr="00A4614F">
        <w:rPr>
          <w:rFonts w:ascii="Verdana" w:eastAsia="Times New Roman" w:hAnsi="Verdana" w:cs="Times New Roman"/>
          <w:color w:val="333333"/>
          <w:sz w:val="18"/>
          <w:szCs w:val="18"/>
          <w:lang w:eastAsia="ru-RU"/>
        </w:rPr>
        <w:br/>
        <w:t>Элементы составных сечений, указанные на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i/>
          <w:iCs/>
          <w:color w:val="333333"/>
          <w:sz w:val="18"/>
          <w:lang w:eastAsia="ru-RU"/>
        </w:rPr>
        <w:t>з</w:t>
      </w:r>
      <w:r w:rsidRPr="00A4614F">
        <w:rPr>
          <w:rFonts w:ascii="Verdana" w:eastAsia="Times New Roman" w:hAnsi="Verdana" w:cs="Times New Roman"/>
          <w:color w:val="333333"/>
          <w:sz w:val="18"/>
          <w:szCs w:val="18"/>
          <w:lang w:eastAsia="ru-RU"/>
        </w:rPr>
        <w:t>, следует рассчитывать на продавливание как однослойные плиты по п. 3.43.</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Расчет элементов по предельным состояниям второй группы</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Расчет по раскрытию трещин</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3.45. При проектировании слоистых элементов перекрытий (см. рис. 1,</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 если не соблюдается условие</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lastRenderedPageBreak/>
        <w:t>М</w:t>
      </w:r>
      <w:r w:rsidRPr="00A4614F">
        <w:rPr>
          <w:rFonts w:ascii="Verdana" w:eastAsia="Times New Roman" w:hAnsi="Verdana" w:cs="Times New Roman"/>
          <w:color w:val="333333"/>
          <w:sz w:val="18"/>
          <w:szCs w:val="18"/>
          <w:lang w:eastAsia="ru-RU"/>
        </w:rPr>
        <w:t>&lt;=</w:t>
      </w:r>
      <w:r w:rsidRPr="00A4614F">
        <w:rPr>
          <w:rFonts w:ascii="Verdana" w:eastAsia="Times New Roman" w:hAnsi="Verdana" w:cs="Times New Roman"/>
          <w:i/>
          <w:iCs/>
          <w:color w:val="333333"/>
          <w:sz w:val="18"/>
          <w:lang w:eastAsia="ru-RU"/>
        </w:rPr>
        <w:t>Rbt,sezWpl</w:t>
      </w:r>
      <w:r w:rsidRPr="00A4614F">
        <w:rPr>
          <w:rFonts w:ascii="Verdana" w:eastAsia="Times New Roman" w:hAnsi="Verdana" w:cs="Times New Roman"/>
          <w:color w:val="333333"/>
          <w:sz w:val="18"/>
          <w:szCs w:val="18"/>
          <w:lang w:eastAsia="ru-RU"/>
        </w:rPr>
        <w:t>                                                                                 (19)</w:t>
      </w:r>
      <w:r w:rsidRPr="00A4614F">
        <w:rPr>
          <w:rFonts w:ascii="Verdana" w:eastAsia="Times New Roman" w:hAnsi="Verdana" w:cs="Times New Roman"/>
          <w:color w:val="333333"/>
          <w:sz w:val="18"/>
          <w:szCs w:val="18"/>
          <w:lang w:eastAsia="ru-RU"/>
        </w:rPr>
        <w:br/>
        <w:t>рекомендуется проверять ширину раскрытия трещин в нижнем слое,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Wpl</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момент сопротивления приведенного сечения (рис. 4), определяемый по формуле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Wpl</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(0,292 + 0,075Y1 + 0,75Y2)</w:t>
      </w:r>
      <w:r w:rsidRPr="00A4614F">
        <w:rPr>
          <w:rFonts w:ascii="Verdana" w:eastAsia="Times New Roman" w:hAnsi="Verdana" w:cs="Times New Roman"/>
          <w:i/>
          <w:iCs/>
          <w:color w:val="333333"/>
          <w:sz w:val="18"/>
          <w:lang w:eastAsia="ru-RU"/>
        </w:rPr>
        <w:t>bh</w:t>
      </w:r>
      <w:r w:rsidRPr="00A4614F">
        <w:rPr>
          <w:rFonts w:ascii="Verdana" w:eastAsia="Times New Roman" w:hAnsi="Verdana" w:cs="Times New Roman"/>
          <w:color w:val="333333"/>
          <w:sz w:val="18"/>
          <w:szCs w:val="18"/>
          <w:lang w:eastAsia="ru-RU"/>
        </w:rPr>
        <w:t>2.                                                                              (20)</w:t>
      </w:r>
      <w:r w:rsidRPr="00A4614F">
        <w:rPr>
          <w:rFonts w:ascii="Verdana" w:eastAsia="Times New Roman" w:hAnsi="Verdana" w:cs="Times New Roman"/>
          <w:color w:val="333333"/>
          <w:sz w:val="18"/>
          <w:szCs w:val="18"/>
          <w:lang w:eastAsia="ru-RU"/>
        </w:rPr>
        <w:br/>
        <w:t>В формуле (20):</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895350" cy="371475"/>
            <wp:effectExtent l="19050" t="0" r="0" b="0"/>
            <wp:docPr id="20" name="Рисунок 20" descr="стеновые блоки из арб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еновые блоки из арболита"/>
                    <pic:cNvPicPr>
                      <a:picLocks noChangeAspect="1" noChangeArrowheads="1"/>
                    </pic:cNvPicPr>
                  </pic:nvPicPr>
                  <pic:blipFill>
                    <a:blip r:embed="rId6"/>
                    <a:srcRect/>
                    <a:stretch>
                      <a:fillRect/>
                    </a:stretch>
                  </pic:blipFill>
                  <pic:spPr bwMode="auto">
                    <a:xfrm>
                      <a:off x="0" y="0"/>
                      <a:ext cx="895350" cy="3714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и</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857250" cy="342900"/>
            <wp:effectExtent l="19050" t="0" r="0" b="0"/>
            <wp:docPr id="21" name="Рисунок 21" descr="арболитовые 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рболитовые блоки"/>
                    <pic:cNvPicPr>
                      <a:picLocks noChangeAspect="1" noChangeArrowheads="1"/>
                    </pic:cNvPicPr>
                  </pic:nvPicPr>
                  <pic:blipFill>
                    <a:blip r:embed="rId6"/>
                    <a:srcRect/>
                    <a:stretch>
                      <a:fillRect/>
                    </a:stretch>
                  </pic:blipFill>
                  <pic:spPr bwMode="auto">
                    <a:xfrm>
                      <a:off x="0" y="0"/>
                      <a:ext cx="857250" cy="3429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(21)</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bf</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b’f</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ширина слоя из бетона, расположенного в растянутой и сжатой зоне соответственно;</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hf</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h’f</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толщина нижнего и верхнего слоя из бетона соответственно.</w:t>
      </w:r>
      <w:r w:rsidRPr="00A4614F">
        <w:rPr>
          <w:rFonts w:ascii="Verdana" w:eastAsia="Times New Roman" w:hAnsi="Verdana" w:cs="Times New Roman"/>
          <w:color w:val="333333"/>
          <w:sz w:val="18"/>
          <w:szCs w:val="18"/>
          <w:lang w:eastAsia="ru-RU"/>
        </w:rPr>
        <w:br/>
        <w:t>Размеры приведенного сечения определяются по п. 3.49 и рис. 4.</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3790950" cy="2171700"/>
            <wp:effectExtent l="0" t="0" r="0" b="0"/>
            <wp:docPr id="22" name="Рисунок 22" descr="арболитовые 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рболитовые блоки"/>
                    <pic:cNvPicPr>
                      <a:picLocks noChangeAspect="1" noChangeArrowheads="1"/>
                    </pic:cNvPicPr>
                  </pic:nvPicPr>
                  <pic:blipFill>
                    <a:blip r:embed="rId6"/>
                    <a:srcRect/>
                    <a:stretch>
                      <a:fillRect/>
                    </a:stretch>
                  </pic:blipFill>
                  <pic:spPr bwMode="auto">
                    <a:xfrm>
                      <a:off x="0" y="0"/>
                      <a:ext cx="3790950" cy="21717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br/>
        <w:t>Рис. 4. Схема поперечных сечений составных элементов</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а </w:t>
      </w:r>
      <w:r w:rsidRPr="00A4614F">
        <w:rPr>
          <w:rFonts w:ascii="Verdana" w:eastAsia="Times New Roman" w:hAnsi="Verdana" w:cs="Times New Roman"/>
          <w:color w:val="333333"/>
          <w:sz w:val="18"/>
          <w:szCs w:val="18"/>
          <w:lang w:eastAsia="ru-RU"/>
        </w:rPr>
        <w:t>– трехслойное</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885825" cy="333375"/>
            <wp:effectExtent l="19050" t="0" r="9525" b="0"/>
            <wp:docPr id="23" name="Рисунок 23"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рболит"/>
                    <pic:cNvPicPr>
                      <a:picLocks noChangeAspect="1" noChangeArrowheads="1"/>
                    </pic:cNvPicPr>
                  </pic:nvPicPr>
                  <pic:blipFill>
                    <a:blip r:embed="rId6"/>
                    <a:srcRect/>
                    <a:stretch>
                      <a:fillRect/>
                    </a:stretch>
                  </pic:blipFill>
                  <pic:spPr bwMode="auto">
                    <a:xfrm>
                      <a:off x="0" y="0"/>
                      <a:ext cx="885825" cy="3333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б</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с боковыми несущими гранями</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971550" cy="219075"/>
            <wp:effectExtent l="19050" t="0" r="0" b="0"/>
            <wp:docPr id="24" name="Рисунок 24"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рболит"/>
                    <pic:cNvPicPr>
                      <a:picLocks noChangeAspect="1" noChangeArrowheads="1"/>
                    </pic:cNvPicPr>
                  </pic:nvPicPr>
                  <pic:blipFill>
                    <a:blip r:embed="rId6"/>
                    <a:srcRect/>
                    <a:stretch>
                      <a:fillRect/>
                    </a:stretch>
                  </pic:blipFill>
                  <pic:spPr bwMode="auto">
                    <a:xfrm>
                      <a:off x="0" y="0"/>
                      <a:ext cx="971550" cy="2190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br/>
        <w:t>3.46. Ширина раскрытия трещин для слоистого элемента определяется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885825" cy="228600"/>
            <wp:effectExtent l="19050" t="0" r="9525" b="0"/>
            <wp:docPr id="25" name="Рисунок 25" descr="http://www.arbolit.net/images/snip/snip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bolit.net/images/snip/snip20.gif"/>
                    <pic:cNvPicPr>
                      <a:picLocks noChangeAspect="1" noChangeArrowheads="1"/>
                    </pic:cNvPicPr>
                  </pic:nvPicPr>
                  <pic:blipFill>
                    <a:blip r:embed="rId6"/>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(22)</w:t>
      </w:r>
      <w:r w:rsidRPr="00A4614F">
        <w:rPr>
          <w:rFonts w:ascii="Verdana" w:eastAsia="Times New Roman" w:hAnsi="Verdana" w:cs="Times New Roman"/>
          <w:color w:val="333333"/>
          <w:sz w:val="18"/>
          <w:szCs w:val="18"/>
          <w:lang w:eastAsia="ru-RU"/>
        </w:rPr>
        <w:br/>
        <w:t>где</w:t>
      </w:r>
      <w:r>
        <w:rPr>
          <w:rFonts w:ascii="Verdana" w:eastAsia="Times New Roman" w:hAnsi="Verdana" w:cs="Times New Roman"/>
          <w:noProof/>
          <w:color w:val="333333"/>
          <w:sz w:val="18"/>
          <w:szCs w:val="18"/>
          <w:lang w:eastAsia="ru-RU"/>
        </w:rPr>
        <w:drawing>
          <wp:inline distT="0" distB="0" distL="0" distR="0">
            <wp:extent cx="171450" cy="161925"/>
            <wp:effectExtent l="19050" t="0" r="0" b="0"/>
            <wp:docPr id="26" name="Рисунок 26"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арболит"/>
                    <pic:cNvPicPr>
                      <a:picLocks noChangeAspect="1" noChangeArrowheads="1"/>
                    </pic:cNvPicPr>
                  </pic:nvPicPr>
                  <pic:blipFill>
                    <a:blip r:embed="rId6"/>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напряжение в арматуре, определяемое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009650" cy="476250"/>
            <wp:effectExtent l="19050" t="0" r="0" b="0"/>
            <wp:docPr id="27" name="Рисунок 27" descr="http://www.arbolit.net/images/snip/sni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bolit.net/images/snip/snip21.gif"/>
                    <pic:cNvPicPr>
                      <a:picLocks noChangeAspect="1" noChangeArrowheads="1"/>
                    </pic:cNvPicPr>
                  </pic:nvPicPr>
                  <pic:blipFill>
                    <a:blip r:embed="rId6"/>
                    <a:srcRect/>
                    <a:stretch>
                      <a:fillRect/>
                    </a:stretch>
                  </pic:blipFill>
                  <pic:spPr bwMode="auto">
                    <a:xfrm>
                      <a:off x="0" y="0"/>
                      <a:ext cx="1009650" cy="47625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(23)</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lcz</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расстояние между трещинами, принимаемое по табл. 7.</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7</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6"/>
        <w:gridCol w:w="1124"/>
        <w:gridCol w:w="1124"/>
        <w:gridCol w:w="1124"/>
        <w:gridCol w:w="1124"/>
        <w:gridCol w:w="1146"/>
      </w:tblGrid>
      <w:tr w:rsidR="00A4614F" w:rsidRPr="00A4614F" w:rsidTr="00A4614F">
        <w:trPr>
          <w:tblCellSpacing w:w="22" w:type="dxa"/>
          <w:jc w:val="center"/>
        </w:trPr>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i/>
                <w:iCs/>
                <w:sz w:val="24"/>
                <w:szCs w:val="24"/>
                <w:lang w:eastAsia="ru-RU"/>
              </w:rPr>
              <w:t>hf</w:t>
            </w:r>
            <w:r w:rsidRPr="00A4614F">
              <w:rPr>
                <w:rFonts w:ascii="Times New Roman" w:eastAsia="Times New Roman" w:hAnsi="Times New Roman" w:cs="Times New Roman"/>
                <w:sz w:val="24"/>
                <w:szCs w:val="24"/>
                <w:lang w:eastAsia="ru-RU"/>
              </w:rPr>
              <w:t>,</w:t>
            </w:r>
          </w:p>
        </w:tc>
        <w:tc>
          <w:tcPr>
            <w:tcW w:w="5385" w:type="dxa"/>
            <w:gridSpan w:val="5"/>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i/>
                <w:iCs/>
                <w:sz w:val="18"/>
                <w:lang w:eastAsia="ru-RU"/>
              </w:rPr>
              <w:t>lcz</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t>при</w:t>
            </w:r>
            <w:r w:rsidRPr="00A4614F">
              <w:rPr>
                <w:rFonts w:ascii="Times New Roman" w:eastAsia="Times New Roman" w:hAnsi="Times New Roman" w:cs="Times New Roman"/>
                <w:i/>
                <w:iCs/>
                <w:sz w:val="18"/>
                <w:lang w:eastAsia="ru-RU"/>
              </w:rPr>
              <w:t> M</w:t>
            </w:r>
            <w:r w:rsidRPr="00A4614F">
              <w:rPr>
                <w:rFonts w:ascii="Times New Roman" w:eastAsia="Times New Roman" w:hAnsi="Times New Roman" w:cs="Times New Roman"/>
                <w:sz w:val="18"/>
                <w:szCs w:val="18"/>
                <w:lang w:eastAsia="ru-RU"/>
              </w:rPr>
              <w:t>=</w:t>
            </w:r>
            <w:r w:rsidRPr="00A4614F">
              <w:rPr>
                <w:rFonts w:ascii="Times New Roman" w:eastAsia="Times New Roman" w:hAnsi="Times New Roman" w:cs="Times New Roman"/>
                <w:i/>
                <w:iCs/>
                <w:sz w:val="18"/>
                <w:lang w:eastAsia="ru-RU"/>
              </w:rPr>
              <w:t>As fAb</w:t>
            </w:r>
            <w:r w:rsidRPr="00A4614F">
              <w:rPr>
                <w:rFonts w:ascii="Times New Roman" w:eastAsia="Times New Roman" w:hAnsi="Times New Roman" w:cs="Times New Roman"/>
                <w:sz w:val="18"/>
                <w:szCs w:val="18"/>
                <w:lang w:eastAsia="ru-RU"/>
              </w:rPr>
              <w:t>, %</w:t>
            </w:r>
          </w:p>
        </w:tc>
      </w:tr>
      <w:tr w:rsidR="00A4614F" w:rsidRPr="00A4614F" w:rsidTr="00A4614F">
        <w:trPr>
          <w:tblCellSpacing w:w="22" w:type="dxa"/>
          <w:jc w:val="center"/>
        </w:trPr>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см</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0,15</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0,2</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0,25</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0,3</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0,35 и выше</w:t>
            </w:r>
          </w:p>
        </w:tc>
      </w:tr>
      <w:tr w:rsidR="00A4614F" w:rsidRPr="00A4614F" w:rsidTr="00A4614F">
        <w:trPr>
          <w:tblCellSpacing w:w="22" w:type="dxa"/>
          <w:jc w:val="center"/>
        </w:trPr>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2,5</w:t>
            </w:r>
            <w:r w:rsidRPr="00A4614F">
              <w:rPr>
                <w:rFonts w:ascii="Times New Roman" w:eastAsia="Times New Roman" w:hAnsi="Times New Roman" w:cs="Times New Roman"/>
                <w:sz w:val="18"/>
                <w:szCs w:val="18"/>
                <w:lang w:eastAsia="ru-RU"/>
              </w:rPr>
              <w:br/>
              <w:t>3</w:t>
            </w:r>
            <w:r w:rsidRPr="00A4614F">
              <w:rPr>
                <w:rFonts w:ascii="Times New Roman" w:eastAsia="Times New Roman" w:hAnsi="Times New Roman" w:cs="Times New Roman"/>
                <w:sz w:val="18"/>
                <w:szCs w:val="18"/>
                <w:lang w:eastAsia="ru-RU"/>
              </w:rPr>
              <w:br/>
              <w:t>4</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w:t>
            </w:r>
            <w:r w:rsidRPr="00A4614F">
              <w:rPr>
                <w:rFonts w:ascii="Times New Roman" w:eastAsia="Times New Roman" w:hAnsi="Times New Roman" w:cs="Times New Roman"/>
                <w:sz w:val="18"/>
                <w:szCs w:val="18"/>
                <w:lang w:eastAsia="ru-RU"/>
              </w:rPr>
              <w:br/>
              <w:t>25</w:t>
            </w:r>
            <w:r w:rsidRPr="00A4614F">
              <w:rPr>
                <w:rFonts w:ascii="Times New Roman" w:eastAsia="Times New Roman" w:hAnsi="Times New Roman" w:cs="Times New Roman"/>
                <w:sz w:val="18"/>
                <w:szCs w:val="18"/>
                <w:lang w:eastAsia="ru-RU"/>
              </w:rPr>
              <w:br/>
              <w:t>20</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25</w:t>
            </w:r>
            <w:r w:rsidRPr="00A4614F">
              <w:rPr>
                <w:rFonts w:ascii="Times New Roman" w:eastAsia="Times New Roman" w:hAnsi="Times New Roman" w:cs="Times New Roman"/>
                <w:sz w:val="18"/>
                <w:szCs w:val="18"/>
                <w:lang w:eastAsia="ru-RU"/>
              </w:rPr>
              <w:br/>
              <w:t>20</w:t>
            </w:r>
            <w:r w:rsidRPr="00A4614F">
              <w:rPr>
                <w:rFonts w:ascii="Times New Roman" w:eastAsia="Times New Roman" w:hAnsi="Times New Roman" w:cs="Times New Roman"/>
                <w:sz w:val="18"/>
                <w:szCs w:val="18"/>
                <w:lang w:eastAsia="ru-RU"/>
              </w:rPr>
              <w:br/>
              <w:t>16</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22</w:t>
            </w:r>
            <w:r w:rsidRPr="00A4614F">
              <w:rPr>
                <w:rFonts w:ascii="Times New Roman" w:eastAsia="Times New Roman" w:hAnsi="Times New Roman" w:cs="Times New Roman"/>
                <w:sz w:val="18"/>
                <w:szCs w:val="18"/>
                <w:lang w:eastAsia="ru-RU"/>
              </w:rPr>
              <w:br/>
              <w:t>18</w:t>
            </w:r>
            <w:r w:rsidRPr="00A4614F">
              <w:rPr>
                <w:rFonts w:ascii="Times New Roman" w:eastAsia="Times New Roman" w:hAnsi="Times New Roman" w:cs="Times New Roman"/>
                <w:sz w:val="18"/>
                <w:szCs w:val="18"/>
                <w:lang w:eastAsia="ru-RU"/>
              </w:rPr>
              <w:br/>
              <w:t>15</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20</w:t>
            </w:r>
            <w:r w:rsidRPr="00A4614F">
              <w:rPr>
                <w:rFonts w:ascii="Times New Roman" w:eastAsia="Times New Roman" w:hAnsi="Times New Roman" w:cs="Times New Roman"/>
                <w:sz w:val="18"/>
                <w:szCs w:val="18"/>
                <w:lang w:eastAsia="ru-RU"/>
              </w:rPr>
              <w:br/>
              <w:t>16</w:t>
            </w:r>
            <w:r w:rsidRPr="00A4614F">
              <w:rPr>
                <w:rFonts w:ascii="Times New Roman" w:eastAsia="Times New Roman" w:hAnsi="Times New Roman" w:cs="Times New Roman"/>
                <w:sz w:val="18"/>
                <w:szCs w:val="18"/>
                <w:lang w:eastAsia="ru-RU"/>
              </w:rPr>
              <w:br/>
              <w:t>14</w:t>
            </w:r>
          </w:p>
        </w:tc>
        <w:tc>
          <w:tcPr>
            <w:tcW w:w="10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17</w:t>
            </w:r>
            <w:r w:rsidRPr="00A4614F">
              <w:rPr>
                <w:rFonts w:ascii="Times New Roman" w:eastAsia="Times New Roman" w:hAnsi="Times New Roman" w:cs="Times New Roman"/>
                <w:sz w:val="18"/>
                <w:szCs w:val="18"/>
                <w:lang w:eastAsia="ru-RU"/>
              </w:rPr>
              <w:br/>
              <w:t>14</w:t>
            </w:r>
            <w:r w:rsidRPr="00A4614F">
              <w:rPr>
                <w:rFonts w:ascii="Times New Roman" w:eastAsia="Times New Roman" w:hAnsi="Times New Roman" w:cs="Times New Roman"/>
                <w:sz w:val="18"/>
                <w:szCs w:val="18"/>
                <w:lang w:eastAsia="ru-RU"/>
              </w:rPr>
              <w:br/>
              <w:t>13</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i/>
          <w:iCs/>
          <w:color w:val="333333"/>
          <w:sz w:val="18"/>
          <w:lang w:eastAsia="ru-RU"/>
        </w:rPr>
        <w:t>Ab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полная площадь поперечного сечения слоистого элемента;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К</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коэффициент, зависящий от класса бетона нижнего слоя (см. п. 3.2), принимаемый:</w:t>
      </w:r>
      <w:r w:rsidRPr="00A4614F">
        <w:rPr>
          <w:rFonts w:ascii="Verdana" w:eastAsia="Times New Roman" w:hAnsi="Verdana" w:cs="Times New Roman"/>
          <w:color w:val="333333"/>
          <w:sz w:val="18"/>
          <w:szCs w:val="18"/>
          <w:lang w:eastAsia="ru-RU"/>
        </w:rPr>
        <w:br/>
        <w:t>для бетона класса В15    1;</w:t>
      </w:r>
      <w:r w:rsidRPr="00A4614F">
        <w:rPr>
          <w:rFonts w:ascii="Verdana" w:eastAsia="Times New Roman" w:hAnsi="Verdana" w:cs="Times New Roman"/>
          <w:color w:val="333333"/>
          <w:sz w:val="18"/>
          <w:szCs w:val="18"/>
          <w:lang w:eastAsia="ru-RU"/>
        </w:rPr>
        <w:br/>
        <w:t>для бетона класса В20    0,85;</w:t>
      </w:r>
      <w:r w:rsidRPr="00A4614F">
        <w:rPr>
          <w:rFonts w:ascii="Verdana" w:eastAsia="Times New Roman" w:hAnsi="Verdana" w:cs="Times New Roman"/>
          <w:color w:val="333333"/>
          <w:sz w:val="18"/>
          <w:szCs w:val="18"/>
          <w:lang w:eastAsia="ru-RU"/>
        </w:rPr>
        <w:br/>
        <w:t>для бетона класса В25    0,7.</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n</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коэффициент, зависящий от вида продольной растянутой арматуры, равный:</w:t>
      </w:r>
      <w:r w:rsidRPr="00A4614F">
        <w:rPr>
          <w:rFonts w:ascii="Verdana" w:eastAsia="Times New Roman" w:hAnsi="Verdana" w:cs="Times New Roman"/>
          <w:color w:val="333333"/>
          <w:sz w:val="18"/>
          <w:szCs w:val="18"/>
          <w:lang w:eastAsia="ru-RU"/>
        </w:rPr>
        <w:br/>
        <w:t>для стержней периодического профиля класса A-II и A-III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n</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0,7;</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для сварных каркасов и сеток из стали класса Bp-I</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n</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1,25;</w:t>
      </w:r>
      <w:r w:rsidRPr="00A4614F">
        <w:rPr>
          <w:rFonts w:ascii="Verdana" w:eastAsia="Times New Roman" w:hAnsi="Verdana" w:cs="Times New Roman"/>
          <w:color w:val="333333"/>
          <w:sz w:val="18"/>
          <w:szCs w:val="18"/>
          <w:lang w:eastAsia="ru-RU"/>
        </w:rPr>
        <w:br/>
        <w:t>a</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коэффициент, учитывающий длительное действие нагрузки, определяемый из выражения</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504825" cy="219075"/>
            <wp:effectExtent l="19050" t="0" r="9525" b="0"/>
            <wp:docPr id="28" name="Рисунок 28"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арболит"/>
                    <pic:cNvPicPr>
                      <a:picLocks noChangeAspect="1" noChangeArrowheads="1"/>
                    </pic:cNvPicPr>
                  </pic:nvPicPr>
                  <pic:blipFill>
                    <a:blip r:embed="rId6"/>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(24)</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Mд</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момент от длительно действующей части нагрузки;</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М</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общий момент от кратковременной и длительной нагрузки.</w:t>
      </w:r>
      <w:r w:rsidRPr="00A4614F">
        <w:rPr>
          <w:rFonts w:ascii="Verdana" w:eastAsia="Times New Roman" w:hAnsi="Verdana" w:cs="Times New Roman"/>
          <w:color w:val="333333"/>
          <w:sz w:val="18"/>
          <w:szCs w:val="18"/>
          <w:lang w:eastAsia="ru-RU"/>
        </w:rPr>
        <w:br/>
        <w:t>В табл. 7 для промежуточных значений</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h</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m</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величина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lang w:eastAsia="ru-RU"/>
        </w:rPr>
        <w:t>cz </w:t>
      </w:r>
      <w:r w:rsidRPr="00A4614F">
        <w:rPr>
          <w:rFonts w:ascii="Verdana" w:eastAsia="Times New Roman" w:hAnsi="Verdana" w:cs="Times New Roman"/>
          <w:color w:val="333333"/>
          <w:sz w:val="18"/>
          <w:szCs w:val="18"/>
          <w:lang w:eastAsia="ru-RU"/>
        </w:rPr>
        <w:t>принимается по интерполяции.</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b/>
          <w:bCs/>
          <w:color w:val="333333"/>
          <w:sz w:val="18"/>
          <w:lang w:eastAsia="ru-RU"/>
        </w:rPr>
        <w:t>Расчет элементов по деформациям</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3.47. Прогибы изгибаемых элементов из</w:t>
      </w:r>
      <w:r w:rsidRPr="00A4614F">
        <w:rPr>
          <w:rFonts w:ascii="Verdana" w:eastAsia="Times New Roman" w:hAnsi="Verdana" w:cs="Times New Roman"/>
          <w:color w:val="333333"/>
          <w:sz w:val="18"/>
          <w:lang w:eastAsia="ru-RU"/>
        </w:rPr>
        <w:t> </w:t>
      </w:r>
      <w:hyperlink r:id="rId7" w:history="1">
        <w:r w:rsidRPr="00A4614F">
          <w:rPr>
            <w:rFonts w:ascii="Verdana" w:eastAsia="Times New Roman" w:hAnsi="Verdana" w:cs="Times New Roman"/>
            <w:color w:val="000000"/>
            <w:sz w:val="18"/>
            <w:lang w:eastAsia="ru-RU"/>
          </w:rPr>
          <w:t>арболита</w:t>
        </w:r>
      </w:hyperlink>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определяются от нормативных нагрузок по формулам строительной механики в соответствии с требованиями пп. 3.47-3.50. Величины прогибов изгибаемых элементов от кратковременного и длительного действия нагрузок не должны превышать значений, приведенных в главе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3.48. Прогибы однослойных элементов определяют как для сплошного упругопластичного тела с учетом работы арболита сжатой и растянутой зон (без трещин), при этом в расчет вводят полное сечение элемента.</w:t>
      </w:r>
      <w:r w:rsidRPr="00A4614F">
        <w:rPr>
          <w:rFonts w:ascii="Verdana" w:eastAsia="Times New Roman" w:hAnsi="Verdana" w:cs="Times New Roman"/>
          <w:color w:val="333333"/>
          <w:sz w:val="18"/>
          <w:szCs w:val="18"/>
          <w:lang w:eastAsia="ru-RU"/>
        </w:rPr>
        <w:br/>
        <w:t>Полная величина прогибов изгибаемого однослойного элемента из арболита при кратковременном и длительном действии нагрузки определяется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866775" cy="200025"/>
            <wp:effectExtent l="19050" t="0" r="9525" b="0"/>
            <wp:docPr id="29" name="Рисунок 29" descr="http://www.arbolit.net/images/snip/snip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bolit.net/images/snip/snip23.gif"/>
                    <pic:cNvPicPr>
                      <a:picLocks noChangeAspect="1" noChangeArrowheads="1"/>
                    </pic:cNvPicPr>
                  </pic:nvPicPr>
                  <pic:blipFill>
                    <a:blip r:embed="rId6"/>
                    <a:srcRect/>
                    <a:stretch>
                      <a:fillRect/>
                    </a:stretch>
                  </pic:blipFill>
                  <pic:spPr bwMode="auto">
                    <a:xfrm>
                      <a:off x="0" y="0"/>
                      <a:ext cx="866775" cy="2000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(25)</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200025" cy="190500"/>
            <wp:effectExtent l="19050" t="0" r="9525" b="0"/>
            <wp:docPr id="30" name="Рисунок 30" descr="http://www.arbolit.net/images/snip/snip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bolit.net/images/snip/snip24.gif"/>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 прогиб от кратковременно действующей части нагрузки Мк</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714375" cy="342900"/>
            <wp:effectExtent l="19050" t="0" r="9525" b="0"/>
            <wp:docPr id="31" name="Рисунок 31" descr="http://www.arbolit.net/images/snip/snip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bolit.net/images/snip/snip25.gif"/>
                    <pic:cNvPicPr>
                      <a:picLocks noChangeAspect="1" noChangeArrowheads="1"/>
                    </pic:cNvPicPr>
                  </pic:nvPicPr>
                  <pic:blipFill>
                    <a:blip r:embed="rId6"/>
                    <a:srcRect/>
                    <a:stretch>
                      <a:fillRect/>
                    </a:stretch>
                  </pic:blipFill>
                  <pic:spPr bwMode="auto">
                    <a:xfrm>
                      <a:off x="0" y="0"/>
                      <a:ext cx="714375" cy="3429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(26)</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S – параметр, зависящий от схемы загружения элемента и определяемый известными в строительной механике методами;</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мд</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кратковременный прогиб от длительно действующей части нагрузки, определяемый по формуле (26) при замене в ней Мк на М</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52400" cy="142875"/>
            <wp:effectExtent l="19050" t="0" r="0" b="0"/>
            <wp:docPr id="32" name="Рисунок 32"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арболит"/>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cc,r – коэффициент, учитывающий влияние длительной ползучести арболита на деформации однослойного элемента, значение которого принимают для арболита на древесной дробленке равным</w:t>
      </w:r>
      <w:r w:rsidRPr="00A4614F">
        <w:rPr>
          <w:rFonts w:ascii="Verdana" w:eastAsia="Times New Roman" w:hAnsi="Verdana" w:cs="Times New Roman"/>
          <w:i/>
          <w:iCs/>
          <w:color w:val="333333"/>
          <w:sz w:val="18"/>
          <w:lang w:eastAsia="ru-RU"/>
        </w:rPr>
        <w:t> </w:t>
      </w:r>
      <w:r>
        <w:rPr>
          <w:rFonts w:ascii="Verdana" w:eastAsia="Times New Roman" w:hAnsi="Verdana" w:cs="Times New Roman"/>
          <w:i/>
          <w:iCs/>
          <w:noProof/>
          <w:color w:val="333333"/>
          <w:sz w:val="18"/>
          <w:szCs w:val="18"/>
          <w:lang w:eastAsia="ru-RU"/>
        </w:rPr>
        <w:drawing>
          <wp:inline distT="0" distB="0" distL="0" distR="0">
            <wp:extent cx="152400" cy="142875"/>
            <wp:effectExtent l="19050" t="0" r="0" b="0"/>
            <wp:docPr id="33" name="Рисунок 33" descr="Арболитовые 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Арболитовые блоки"/>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cc,r = 4.</w:t>
      </w:r>
      <w:r w:rsidRPr="00A4614F">
        <w:rPr>
          <w:rFonts w:ascii="Verdana" w:eastAsia="Times New Roman" w:hAnsi="Verdana" w:cs="Times New Roman"/>
          <w:color w:val="333333"/>
          <w:sz w:val="18"/>
          <w:szCs w:val="18"/>
          <w:lang w:eastAsia="ru-RU"/>
        </w:rPr>
        <w:br/>
        <w:t>Примечание. При ограничении прогибов эстетическими требованиями значение прогиба</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142875" cy="95250"/>
            <wp:effectExtent l="19050" t="0" r="9525" b="0"/>
            <wp:docPr id="34" name="Рисунок 34" descr="стеновые блоки из арб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теновые блоки из арболита"/>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в формуле (25) не учитывается.</w:t>
      </w:r>
      <w:r w:rsidRPr="00A4614F">
        <w:rPr>
          <w:rFonts w:ascii="Verdana" w:eastAsia="Times New Roman" w:hAnsi="Verdana" w:cs="Times New Roman"/>
          <w:color w:val="333333"/>
          <w:sz w:val="18"/>
          <w:szCs w:val="18"/>
          <w:lang w:eastAsia="ru-RU"/>
        </w:rPr>
        <w:br/>
        <w:t>3.49. Прогибы изгибаемых элементов составного сечения из арболита и бетона рассчитываются по приведенному сечению (см. рис. 3). При этом составное сечение приводится к однородному из бетона сжатой зоны по коэффициенту приведения</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866775" cy="352425"/>
            <wp:effectExtent l="19050" t="0" r="9525" b="0"/>
            <wp:docPr id="35" name="Рисунок 35" descr="http://www.arbolit.net/images/snip/snip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rbolit.net/images/snip/snip26.gif"/>
                    <pic:cNvPicPr>
                      <a:picLocks noChangeAspect="1" noChangeArrowheads="1"/>
                    </pic:cNvPicPr>
                  </pic:nvPicPr>
                  <pic:blipFill>
                    <a:blip r:embed="rId6"/>
                    <a:srcRect/>
                    <a:stretch>
                      <a:fillRect/>
                    </a:stretch>
                  </pic:blipFill>
                  <pic:spPr bwMode="auto">
                    <a:xfrm>
                      <a:off x="0" y="0"/>
                      <a:ext cx="866775" cy="3524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Значения начальных модулей упругости бетона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E</w:t>
      </w:r>
      <w:r w:rsidRPr="00A4614F">
        <w:rPr>
          <w:rFonts w:ascii="Verdana" w:eastAsia="Times New Roman" w:hAnsi="Verdana" w:cs="Times New Roman"/>
          <w:color w:val="333333"/>
          <w:sz w:val="18"/>
          <w:szCs w:val="18"/>
          <w:lang w:eastAsia="ru-RU"/>
        </w:rPr>
        <w:t>в принимаются в соответствии с главой СНиП по проектированию бетонных и железобетонных конструкций, а арболита – по табл. 4 настоящей Инструкции.</w:t>
      </w:r>
      <w:r w:rsidRPr="00A4614F">
        <w:rPr>
          <w:rFonts w:ascii="Verdana" w:eastAsia="Times New Roman" w:hAnsi="Verdana" w:cs="Times New Roman"/>
          <w:color w:val="333333"/>
          <w:sz w:val="18"/>
          <w:szCs w:val="18"/>
          <w:lang w:eastAsia="ru-RU"/>
        </w:rPr>
        <w:br/>
        <w:t>Полная величина прогибов изгибаемого элемента составного сечения при кратковременном и длительном действии нагрузки определяется по формуле</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f</w:t>
      </w:r>
      <w:r w:rsidRPr="00A4614F">
        <w:rPr>
          <w:rFonts w:ascii="Verdana" w:eastAsia="Times New Roman" w:hAnsi="Verdana" w:cs="Times New Roman"/>
          <w:color w:val="333333"/>
          <w:sz w:val="18"/>
          <w:szCs w:val="18"/>
          <w:lang w:eastAsia="ru-RU"/>
        </w:rPr>
        <w:t>м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f</w:t>
      </w:r>
      <w:r w:rsidRPr="00A4614F">
        <w:rPr>
          <w:rFonts w:ascii="Verdana" w:eastAsia="Times New Roman" w:hAnsi="Verdana" w:cs="Times New Roman"/>
          <w:color w:val="333333"/>
          <w:sz w:val="18"/>
          <w:szCs w:val="18"/>
          <w:lang w:eastAsia="ru-RU"/>
        </w:rPr>
        <w:t>мк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f</w:t>
      </w:r>
      <w:r w:rsidRPr="00A4614F">
        <w:rPr>
          <w:rFonts w:ascii="Verdana" w:eastAsia="Times New Roman" w:hAnsi="Verdana" w:cs="Times New Roman"/>
          <w:color w:val="333333"/>
          <w:sz w:val="18"/>
          <w:szCs w:val="18"/>
          <w:lang w:eastAsia="ru-RU"/>
        </w:rPr>
        <w:t>мд</w:t>
      </w:r>
      <w:r>
        <w:rPr>
          <w:rFonts w:ascii="Verdana" w:eastAsia="Times New Roman" w:hAnsi="Verdana" w:cs="Times New Roman"/>
          <w:noProof/>
          <w:color w:val="333333"/>
          <w:sz w:val="18"/>
          <w:szCs w:val="18"/>
          <w:lang w:eastAsia="ru-RU"/>
        </w:rPr>
        <w:drawing>
          <wp:inline distT="0" distB="0" distL="0" distR="0">
            <wp:extent cx="152400" cy="142875"/>
            <wp:effectExtent l="19050" t="0" r="0" b="0"/>
            <wp:docPr id="36" name="Рисунок 36" descr="стеновые блоки из арб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теновые блоки из арболита"/>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сс,з,                                                                                           (27)</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f</w:t>
      </w:r>
      <w:r w:rsidRPr="00A4614F">
        <w:rPr>
          <w:rFonts w:ascii="Verdana" w:eastAsia="Times New Roman" w:hAnsi="Verdana" w:cs="Times New Roman"/>
          <w:color w:val="333333"/>
          <w:sz w:val="18"/>
          <w:szCs w:val="18"/>
          <w:lang w:eastAsia="ru-RU"/>
        </w:rPr>
        <w:t>мк прогиб от кратковременно действующей части нагрузки (</w:t>
      </w:r>
      <w:r w:rsidRPr="00A4614F">
        <w:rPr>
          <w:rFonts w:ascii="Verdana" w:eastAsia="Times New Roman" w:hAnsi="Verdana" w:cs="Times New Roman"/>
          <w:i/>
          <w:iCs/>
          <w:color w:val="333333"/>
          <w:sz w:val="18"/>
          <w:lang w:eastAsia="ru-RU"/>
        </w:rPr>
        <w:t>М</w:t>
      </w:r>
      <w:r w:rsidRPr="00A4614F">
        <w:rPr>
          <w:rFonts w:ascii="Verdana" w:eastAsia="Times New Roman" w:hAnsi="Verdana" w:cs="Times New Roman"/>
          <w:color w:val="333333"/>
          <w:sz w:val="18"/>
          <w:szCs w:val="18"/>
          <w:lang w:eastAsia="ru-RU"/>
        </w:rPr>
        <w:t>к) элемента составного сечения, определяемый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847725" cy="352425"/>
            <wp:effectExtent l="19050" t="0" r="9525" b="0"/>
            <wp:docPr id="37" name="Рисунок 37"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арболит"/>
                    <pic:cNvPicPr>
                      <a:picLocks noChangeAspect="1" noChangeArrowheads="1"/>
                    </pic:cNvPicPr>
                  </pic:nvPicPr>
                  <pic:blipFill>
                    <a:blip r:embed="rId6"/>
                    <a:srcRect/>
                    <a:stretch>
                      <a:fillRect/>
                    </a:stretch>
                  </pic:blipFill>
                  <pic:spPr bwMode="auto">
                    <a:xfrm>
                      <a:off x="0" y="0"/>
                      <a:ext cx="847725" cy="3524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(28)</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f</w:t>
      </w:r>
      <w:r w:rsidRPr="00A4614F">
        <w:rPr>
          <w:rFonts w:ascii="Verdana" w:eastAsia="Times New Roman" w:hAnsi="Verdana" w:cs="Times New Roman"/>
          <w:color w:val="333333"/>
          <w:sz w:val="18"/>
          <w:szCs w:val="18"/>
          <w:lang w:eastAsia="ru-RU"/>
        </w:rPr>
        <w:t>мд – кратковременный прогиб от длительно действующей части нагрузки, определяемый по формуле (28) при замене в ней</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М</w:t>
      </w:r>
      <w:r w:rsidRPr="00A4614F">
        <w:rPr>
          <w:rFonts w:ascii="Verdana" w:eastAsia="Times New Roman" w:hAnsi="Verdana" w:cs="Times New Roman"/>
          <w:color w:val="333333"/>
          <w:sz w:val="18"/>
          <w:szCs w:val="18"/>
          <w:lang w:eastAsia="ru-RU"/>
        </w:rPr>
        <w:t>к на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М</w:t>
      </w:r>
      <w:r w:rsidRPr="00A4614F">
        <w:rPr>
          <w:rFonts w:ascii="Verdana" w:eastAsia="Times New Roman" w:hAnsi="Verdana" w:cs="Times New Roman"/>
          <w:color w:val="333333"/>
          <w:sz w:val="18"/>
          <w:szCs w:val="18"/>
          <w:lang w:eastAsia="ru-RU"/>
        </w:rPr>
        <w:t>д;</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S</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то же, что и в п. 3.48;</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152400" cy="142875"/>
            <wp:effectExtent l="19050" t="0" r="0" b="0"/>
            <wp:docPr id="38" name="Рисунок 38"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арболит"/>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сс,1 и</w:t>
      </w:r>
      <w:r>
        <w:rPr>
          <w:rFonts w:ascii="Verdana" w:eastAsia="Times New Roman" w:hAnsi="Verdana" w:cs="Times New Roman"/>
          <w:noProof/>
          <w:color w:val="333333"/>
          <w:sz w:val="18"/>
          <w:szCs w:val="18"/>
          <w:lang w:eastAsia="ru-RU"/>
        </w:rPr>
        <w:drawing>
          <wp:inline distT="0" distB="0" distL="0" distR="0">
            <wp:extent cx="152400" cy="142875"/>
            <wp:effectExtent l="19050" t="0" r="0" b="0"/>
            <wp:docPr id="39" name="Рисунок 39" descr="арболитовый 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рболитовый блок"/>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сс,3 – коэффициенты, учитывающие влияние кратковременной и соответственно длительной ползучести бетона в элементе составного сечения и принимаемое по табл. 8;</w:t>
      </w:r>
      <w:r w:rsidRPr="00A4614F">
        <w:rPr>
          <w:rFonts w:ascii="Verdana" w:eastAsia="Times New Roman" w:hAnsi="Verdana" w:cs="Times New Roman"/>
          <w:color w:val="333333"/>
          <w:sz w:val="18"/>
          <w:szCs w:val="18"/>
          <w:lang w:eastAsia="ru-RU"/>
        </w:rPr>
        <w:br/>
        <w:t>Ee – начальный модуль упругости бетона верхнего слоя в элементе составного сечения, принимаемый по главе СНиП по проектированию бетонных и железобетонных конструкций.</w:t>
      </w:r>
      <w:r w:rsidRPr="00A4614F">
        <w:rPr>
          <w:rFonts w:ascii="Verdana" w:eastAsia="Times New Roman" w:hAnsi="Verdana" w:cs="Times New Roman"/>
          <w:color w:val="333333"/>
          <w:sz w:val="18"/>
          <w:szCs w:val="18"/>
          <w:lang w:eastAsia="ru-RU"/>
        </w:rPr>
        <w:br/>
        <w:t>Примечание. При ограничении прогибов эстетическими требованиями значение прогиба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f</w:t>
      </w:r>
      <w:r w:rsidRPr="00A4614F">
        <w:rPr>
          <w:rFonts w:ascii="Verdana" w:eastAsia="Times New Roman" w:hAnsi="Verdana" w:cs="Times New Roman"/>
          <w:color w:val="333333"/>
          <w:sz w:val="18"/>
          <w:szCs w:val="18"/>
          <w:lang w:eastAsia="ru-RU"/>
        </w:rPr>
        <w:t>мк в формуле (27) не учитывается.</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8</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6"/>
        <w:gridCol w:w="869"/>
        <w:gridCol w:w="891"/>
      </w:tblGrid>
      <w:tr w:rsidR="00A4614F" w:rsidRPr="00A4614F" w:rsidTr="00A4614F">
        <w:trPr>
          <w:tblCellSpacing w:w="22" w:type="dxa"/>
          <w:jc w:val="center"/>
        </w:trPr>
        <w:tc>
          <w:tcPr>
            <w:tcW w:w="44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lastRenderedPageBreak/>
              <w:t>Типы</w:t>
            </w:r>
          </w:p>
        </w:tc>
        <w:tc>
          <w:tcPr>
            <w:tcW w:w="1650" w:type="dxa"/>
            <w:gridSpan w:val="2"/>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Коэффициенты</w:t>
            </w:r>
          </w:p>
        </w:tc>
      </w:tr>
      <w:tr w:rsidR="00A4614F" w:rsidRPr="00A4614F" w:rsidTr="00A4614F">
        <w:trPr>
          <w:tblCellSpacing w:w="22" w:type="dxa"/>
          <w:jc w:val="center"/>
        </w:trPr>
        <w:tc>
          <w:tcPr>
            <w:tcW w:w="44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элементов</w:t>
            </w:r>
          </w:p>
        </w:tc>
        <w:tc>
          <w:tcPr>
            <w:tcW w:w="82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52400" cy="142875"/>
                  <wp:effectExtent l="19050" t="0" r="0" b="0"/>
                  <wp:docPr id="40" name="Рисунок 40" descr="арболит (деревоб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рболит (деревобетон)"/>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Times New Roman" w:eastAsia="Times New Roman" w:hAnsi="Times New Roman" w:cs="Times New Roman"/>
                <w:sz w:val="18"/>
                <w:szCs w:val="18"/>
                <w:lang w:eastAsia="ru-RU"/>
              </w:rPr>
              <w:t>сс,1</w:t>
            </w:r>
          </w:p>
        </w:tc>
        <w:tc>
          <w:tcPr>
            <w:tcW w:w="82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52400" cy="142875"/>
                  <wp:effectExtent l="19050" t="0" r="0" b="0"/>
                  <wp:docPr id="41" name="Рисунок 41" descr="стеновые блоки из арб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теновые блоки из арболита"/>
                          <pic:cNvPicPr>
                            <a:picLocks noChangeAspect="1" noChangeArrowheads="1"/>
                          </pic:cNvPicPr>
                        </pic:nvPicPr>
                        <pic:blipFill>
                          <a:blip r:embed="rId6"/>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A4614F">
              <w:rPr>
                <w:rFonts w:ascii="Times New Roman" w:eastAsia="Times New Roman" w:hAnsi="Times New Roman" w:cs="Times New Roman"/>
                <w:sz w:val="18"/>
                <w:szCs w:val="18"/>
                <w:lang w:eastAsia="ru-RU"/>
              </w:rPr>
              <w:t>сс,3</w:t>
            </w:r>
          </w:p>
        </w:tc>
      </w:tr>
      <w:tr w:rsidR="00A4614F" w:rsidRPr="00A4614F" w:rsidTr="00A4614F">
        <w:trPr>
          <w:tblCellSpacing w:w="22" w:type="dxa"/>
          <w:jc w:val="center"/>
        </w:trPr>
        <w:tc>
          <w:tcPr>
            <w:tcW w:w="44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Слоистые с верхним слоем из тяжелого или легкого бетона (см. рис. 1,</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д</w:t>
            </w:r>
            <w:r w:rsidRPr="00A4614F">
              <w:rPr>
                <w:rFonts w:ascii="Times New Roman" w:eastAsia="Times New Roman" w:hAnsi="Times New Roman" w:cs="Times New Roman"/>
                <w:sz w:val="18"/>
                <w:szCs w:val="18"/>
                <w:lang w:eastAsia="ru-RU"/>
              </w:rPr>
              <w:t>–</w:t>
            </w:r>
            <w:r w:rsidRPr="00A4614F">
              <w:rPr>
                <w:rFonts w:ascii="Times New Roman" w:eastAsia="Times New Roman" w:hAnsi="Times New Roman" w:cs="Times New Roman"/>
                <w:i/>
                <w:iCs/>
                <w:sz w:val="18"/>
                <w:lang w:eastAsia="ru-RU"/>
              </w:rPr>
              <w:t>з</w:t>
            </w: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То же, с верхним слоем из мелкозернистого бетона</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 боковыми несущими гранями из тяжелого или легкого бетона (см. рис. 1,</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i/>
                <w:iCs/>
                <w:sz w:val="18"/>
                <w:lang w:eastAsia="ru-RU"/>
              </w:rPr>
              <w:t>е</w:t>
            </w: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То же из мелкозернистого бетона</w:t>
            </w:r>
          </w:p>
        </w:tc>
        <w:tc>
          <w:tcPr>
            <w:tcW w:w="82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0,4</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0,35</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0,75</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0,65</w:t>
            </w:r>
          </w:p>
        </w:tc>
        <w:tc>
          <w:tcPr>
            <w:tcW w:w="82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3,2</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4,5</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4,2</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3.50. В случае если изгибаемые элементы удовлетворяют требованиям по прочности и раскрытию трещин, но не удовлетворяют требованиям по прогибам, допускается в таких элементах предусматривать строительный подъем (обратный выгиб), но не более 1/300</w:t>
      </w:r>
      <w:r w:rsidRPr="00A4614F">
        <w:rPr>
          <w:rFonts w:ascii="Verdana" w:eastAsia="Times New Roman" w:hAnsi="Verdana" w:cs="Times New Roman"/>
          <w:i/>
          <w:iCs/>
          <w:color w:val="333333"/>
          <w:sz w:val="18"/>
          <w:lang w:eastAsia="ru-RU"/>
        </w:rPr>
        <w:t>l</w:t>
      </w:r>
      <w:r w:rsidRPr="00A4614F">
        <w:rPr>
          <w:rFonts w:ascii="Verdana" w:eastAsia="Times New Roman" w:hAnsi="Verdana" w:cs="Times New Roman"/>
          <w:color w:val="333333"/>
          <w:sz w:val="18"/>
          <w:szCs w:val="18"/>
          <w:lang w:eastAsia="ru-RU"/>
        </w:rPr>
        <w:t>; при этом величина строительного подъема вычитывается из полученной расчетом величины общего прогиба элемента.</w:t>
      </w:r>
      <w:r w:rsidRPr="00A4614F">
        <w:rPr>
          <w:rFonts w:ascii="Verdana" w:eastAsia="Times New Roman" w:hAnsi="Verdana" w:cs="Times New Roman"/>
          <w:color w:val="333333"/>
          <w:sz w:val="18"/>
          <w:szCs w:val="18"/>
          <w:lang w:eastAsia="ru-RU"/>
        </w:rPr>
        <w:br/>
        <w:t>Для плит перекрытий длиной более 4 м должна производиться проверка по зыбкости: дополнительный прогиб от кратковременно действующей сосредоточенной нагрузки 1000 Н (100 кгс) при наиболее невыгодной схеме ее приложения должен быть не более 0,7 мм.</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4. Порядок подбора и назначения состава </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lang w:eastAsia="ru-RU"/>
        </w:rPr>
        <w:t>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4.1. Подбор и назначение состава арболита должны производиться заводской лабораторией любым проверенным на практике способом.</w:t>
      </w:r>
      <w:r w:rsidRPr="00A4614F">
        <w:rPr>
          <w:rFonts w:ascii="Verdana" w:eastAsia="Times New Roman" w:hAnsi="Verdana" w:cs="Times New Roman"/>
          <w:color w:val="333333"/>
          <w:sz w:val="18"/>
          <w:szCs w:val="18"/>
          <w:lang w:eastAsia="ru-RU"/>
        </w:rPr>
        <w:br/>
        <w:t>Подобранный состав при принятых технологических режимах производства должен обеспечить получение арболита с заданными проектными показателями при минимальном расходе цемента. Назначенный состав арболита должен утверждаться главным инженером и контролироваться заводской лабораторией.</w:t>
      </w:r>
      <w:r w:rsidRPr="00A4614F">
        <w:rPr>
          <w:rFonts w:ascii="Verdana" w:eastAsia="Times New Roman" w:hAnsi="Verdana" w:cs="Times New Roman"/>
          <w:color w:val="333333"/>
          <w:sz w:val="18"/>
          <w:szCs w:val="18"/>
          <w:lang w:eastAsia="ru-RU"/>
        </w:rPr>
        <w:br/>
        <w:t>4.2. Подбор состава арболита включает:</w:t>
      </w:r>
      <w:r w:rsidRPr="00A4614F">
        <w:rPr>
          <w:rFonts w:ascii="Verdana" w:eastAsia="Times New Roman" w:hAnsi="Verdana" w:cs="Times New Roman"/>
          <w:color w:val="333333"/>
          <w:sz w:val="18"/>
          <w:szCs w:val="18"/>
          <w:lang w:eastAsia="ru-RU"/>
        </w:rPr>
        <w:br/>
        <w:t>оценку и выбор исходных материалов, испытание контрольных образцов, обработку полученных результатов и назначение рабочего состава;</w:t>
      </w:r>
      <w:r w:rsidRPr="00A4614F">
        <w:rPr>
          <w:rFonts w:ascii="Verdana" w:eastAsia="Times New Roman" w:hAnsi="Verdana" w:cs="Times New Roman"/>
          <w:color w:val="333333"/>
          <w:sz w:val="18"/>
          <w:szCs w:val="18"/>
          <w:lang w:eastAsia="ru-RU"/>
        </w:rPr>
        <w:br/>
        <w:t>проверку назначенного состава в производственных условиях и корректировку дозировок материалов на 1 замес.</w:t>
      </w:r>
      <w:r w:rsidRPr="00A4614F">
        <w:rPr>
          <w:rFonts w:ascii="Verdana" w:eastAsia="Times New Roman" w:hAnsi="Verdana" w:cs="Times New Roman"/>
          <w:color w:val="333333"/>
          <w:sz w:val="18"/>
          <w:szCs w:val="18"/>
          <w:lang w:eastAsia="ru-RU"/>
        </w:rPr>
        <w:br/>
        <w:t>4.3. Исходные материалы для приготовления арболита должны оцениваться и выбираться на основании требований разд. 1 в соответствии с действующими стандартами и методиками, изложенными в ГОСТ 19222–73 и настоящей Инструкции.</w:t>
      </w:r>
      <w:r w:rsidRPr="00A4614F">
        <w:rPr>
          <w:rFonts w:ascii="Verdana" w:eastAsia="Times New Roman" w:hAnsi="Verdana" w:cs="Times New Roman"/>
          <w:color w:val="333333"/>
          <w:sz w:val="18"/>
          <w:szCs w:val="18"/>
          <w:lang w:eastAsia="ru-RU"/>
        </w:rPr>
        <w:br/>
        <w:t>4.4. Расчет и назначение состава арболита следует производит в соответствии с прил. 3. Там же даны ориентировочные расходы материалов на 1 м3 арболитовой смеси.</w:t>
      </w:r>
      <w:r w:rsidRPr="00A4614F">
        <w:rPr>
          <w:rFonts w:ascii="Verdana" w:eastAsia="Times New Roman" w:hAnsi="Verdana" w:cs="Times New Roman"/>
          <w:color w:val="333333"/>
          <w:sz w:val="18"/>
          <w:szCs w:val="18"/>
          <w:lang w:eastAsia="ru-RU"/>
        </w:rPr>
        <w:br/>
        <w:t>4.5. Расчетные составы арболита проверяют в лабораторных или производственных условиях путем изготовления и испытания контрольных образцов-кубов по ГОСТ 10180–78. Опытные образцы для определения класса арболита по прочности при сжатии хранятся в течение 28 сут при температуре 20±2 С° и относительной влажности воздуха 70±10 %. Для уточнения распалубочной или отпускной прочности изготавливаются и испытываются образцы в возрасте 1–7 сут.</w:t>
      </w:r>
      <w:r w:rsidRPr="00A4614F">
        <w:rPr>
          <w:rFonts w:ascii="Verdana" w:eastAsia="Times New Roman" w:hAnsi="Verdana" w:cs="Times New Roman"/>
          <w:color w:val="333333"/>
          <w:sz w:val="18"/>
          <w:szCs w:val="18"/>
          <w:lang w:eastAsia="ru-RU"/>
        </w:rPr>
        <w:br/>
        <w:t>Рабочий состав арболита должен назначаться на основании обработки результатов испытаний контрольных образцов.</w:t>
      </w:r>
      <w:r w:rsidRPr="00A4614F">
        <w:rPr>
          <w:rFonts w:ascii="Verdana" w:eastAsia="Times New Roman" w:hAnsi="Verdana" w:cs="Times New Roman"/>
          <w:color w:val="333333"/>
          <w:sz w:val="18"/>
          <w:szCs w:val="18"/>
          <w:lang w:eastAsia="ru-RU"/>
        </w:rPr>
        <w:br/>
        <w:t>4.6. Рабочий состав арболита должен проверяться в производственных условиях при изготовлении конструкций по действующей на заводе технологии путем изготовления и испытания контрольных образцов-кубов по ГОСТ 10180–78 с учетом п. 4.5.</w:t>
      </w:r>
      <w:r w:rsidRPr="00A4614F">
        <w:rPr>
          <w:rFonts w:ascii="Verdana" w:eastAsia="Times New Roman" w:hAnsi="Verdana" w:cs="Times New Roman"/>
          <w:color w:val="333333"/>
          <w:sz w:val="18"/>
          <w:szCs w:val="18"/>
          <w:lang w:eastAsia="ru-RU"/>
        </w:rPr>
        <w:br/>
        <w:t xml:space="preserve">4.7. После производственной проверки рабочего состава арболита в соответствии с п. 4.6 следует составить таблицы объемно-весового дозирования с указанием расхода всех материалов </w:t>
      </w:r>
      <w:r w:rsidRPr="00A4614F">
        <w:rPr>
          <w:rFonts w:ascii="Verdana" w:eastAsia="Times New Roman" w:hAnsi="Verdana" w:cs="Times New Roman"/>
          <w:color w:val="333333"/>
          <w:sz w:val="18"/>
          <w:szCs w:val="18"/>
          <w:lang w:eastAsia="ru-RU"/>
        </w:rPr>
        <w:lastRenderedPageBreak/>
        <w:t>по массе, а дробленки – по объему с учетом колебаний насыпной плотности (см. прил. 2).</w:t>
      </w:r>
      <w:r w:rsidRPr="00A4614F">
        <w:rPr>
          <w:rFonts w:ascii="Verdana" w:eastAsia="Times New Roman" w:hAnsi="Verdana" w:cs="Times New Roman"/>
          <w:color w:val="333333"/>
          <w:sz w:val="18"/>
          <w:szCs w:val="18"/>
          <w:lang w:eastAsia="ru-RU"/>
        </w:rPr>
        <w:br/>
        <w:t>4.8. Рабочий состав арболита должен корректироваться при организации изготовления конструкций, изменении проектных характеристик арболита, вида и поставщика древесного сырья или цемента и при изменении технологических режимов производства.</w:t>
      </w:r>
      <w:r w:rsidRPr="00A4614F">
        <w:rPr>
          <w:rFonts w:ascii="Verdana" w:eastAsia="Times New Roman" w:hAnsi="Verdana" w:cs="Times New Roman"/>
          <w:color w:val="333333"/>
          <w:sz w:val="18"/>
          <w:szCs w:val="18"/>
          <w:lang w:eastAsia="ru-RU"/>
        </w:rPr>
        <w:br/>
        <w:t>4.9. Состав бетона (раствора) отделочного слоя конструкций устанавливается по общим правилам подбора состава бетона (раствора).</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5. Приготовление и транспортирование арболитовых смесей</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5.1. Древесную дробленку со склада к месту дозирования следует транспортировать ленточными транспортерами, скиповыми устройствами, пневмотранспортом и другими средствами, исключающими ее загрязнение.</w:t>
      </w:r>
      <w:r w:rsidRPr="00A4614F">
        <w:rPr>
          <w:rFonts w:ascii="Verdana" w:eastAsia="Times New Roman" w:hAnsi="Verdana" w:cs="Times New Roman"/>
          <w:color w:val="333333"/>
          <w:sz w:val="18"/>
          <w:szCs w:val="18"/>
          <w:lang w:eastAsia="ru-RU"/>
        </w:rPr>
        <w:br/>
        <w:t>5.2. Древесная дробленка в момент подачи на дозирование должна иметь положительную температуру. В зимнее время допускается замачивать ее в подогретой до 70 °С воде.</w:t>
      </w:r>
      <w:r w:rsidRPr="00A4614F">
        <w:rPr>
          <w:rFonts w:ascii="Verdana" w:eastAsia="Times New Roman" w:hAnsi="Verdana" w:cs="Times New Roman"/>
          <w:color w:val="333333"/>
          <w:sz w:val="18"/>
          <w:szCs w:val="18"/>
          <w:lang w:eastAsia="ru-RU"/>
        </w:rPr>
        <w:br/>
        <w:t>Длительность замачивания древесной дробленки назначается на основании результатов лабораторных испытаний и должна составлять не менее 15 мин.</w:t>
      </w:r>
      <w:r w:rsidRPr="00A4614F">
        <w:rPr>
          <w:rFonts w:ascii="Verdana" w:eastAsia="Times New Roman" w:hAnsi="Verdana" w:cs="Times New Roman"/>
          <w:color w:val="333333"/>
          <w:sz w:val="18"/>
          <w:szCs w:val="18"/>
          <w:lang w:eastAsia="ru-RU"/>
        </w:rPr>
        <w:br/>
        <w:t>5.3. Арболитовая смесь приготовляется и транспортируется с использованием оборудования, применяемого на заводах сборного железобетона.</w:t>
      </w:r>
      <w:r w:rsidRPr="00A4614F">
        <w:rPr>
          <w:rFonts w:ascii="Verdana" w:eastAsia="Times New Roman" w:hAnsi="Verdana" w:cs="Times New Roman"/>
          <w:color w:val="333333"/>
          <w:sz w:val="18"/>
          <w:szCs w:val="18"/>
          <w:lang w:eastAsia="ru-RU"/>
        </w:rPr>
        <w:br/>
        <w:t>5.4. Древесная дробленка должна дозироваться объемно-весовым способом с последующей корректировкой состава смеси арболита на основе контроля насыпной плотности дробленки в весовом дозаторе (см. прил. 2).</w:t>
      </w:r>
      <w:r w:rsidRPr="00A4614F">
        <w:rPr>
          <w:rFonts w:ascii="Verdana" w:eastAsia="Times New Roman" w:hAnsi="Verdana" w:cs="Times New Roman"/>
          <w:color w:val="333333"/>
          <w:sz w:val="18"/>
          <w:szCs w:val="18"/>
          <w:lang w:eastAsia="ru-RU"/>
        </w:rPr>
        <w:br/>
        <w:t>5.5. Точность дозирования материалов, % , должна быть:</w:t>
      </w:r>
      <w:r w:rsidRPr="00A4614F">
        <w:rPr>
          <w:rFonts w:ascii="Verdana" w:eastAsia="Times New Roman" w:hAnsi="Verdana" w:cs="Times New Roman"/>
          <w:color w:val="333333"/>
          <w:sz w:val="18"/>
          <w:szCs w:val="18"/>
          <w:lang w:eastAsia="ru-RU"/>
        </w:rPr>
        <w:br/>
        <w:t>цемента по массе                                            ±2;</w:t>
      </w:r>
      <w:r w:rsidRPr="00A4614F">
        <w:rPr>
          <w:rFonts w:ascii="Verdana" w:eastAsia="Times New Roman" w:hAnsi="Verdana" w:cs="Times New Roman"/>
          <w:color w:val="333333"/>
          <w:sz w:val="18"/>
          <w:szCs w:val="18"/>
          <w:lang w:eastAsia="ru-RU"/>
        </w:rPr>
        <w:br/>
        <w:t>древесной дробленки:</w:t>
      </w:r>
      <w:r w:rsidRPr="00A4614F">
        <w:rPr>
          <w:rFonts w:ascii="Verdana" w:eastAsia="Times New Roman" w:hAnsi="Verdana" w:cs="Times New Roman"/>
          <w:color w:val="333333"/>
          <w:sz w:val="18"/>
          <w:szCs w:val="18"/>
          <w:lang w:eastAsia="ru-RU"/>
        </w:rPr>
        <w:br/>
        <w:t>по объему                                                       ±5;</w:t>
      </w:r>
      <w:r w:rsidRPr="00A4614F">
        <w:rPr>
          <w:rFonts w:ascii="Verdana" w:eastAsia="Times New Roman" w:hAnsi="Verdana" w:cs="Times New Roman"/>
          <w:color w:val="333333"/>
          <w:sz w:val="18"/>
          <w:szCs w:val="18"/>
          <w:lang w:eastAsia="ru-RU"/>
        </w:rPr>
        <w:br/>
        <w:t>или по массе                                                   ±3;</w:t>
      </w:r>
      <w:r w:rsidRPr="00A4614F">
        <w:rPr>
          <w:rFonts w:ascii="Verdana" w:eastAsia="Times New Roman" w:hAnsi="Verdana" w:cs="Times New Roman"/>
          <w:color w:val="333333"/>
          <w:sz w:val="18"/>
          <w:szCs w:val="18"/>
          <w:lang w:eastAsia="ru-RU"/>
        </w:rPr>
        <w:br/>
        <w:t>воды по массе или объему                             ±2;</w:t>
      </w:r>
      <w:r w:rsidRPr="00A4614F">
        <w:rPr>
          <w:rFonts w:ascii="Verdana" w:eastAsia="Times New Roman" w:hAnsi="Verdana" w:cs="Times New Roman"/>
          <w:color w:val="333333"/>
          <w:sz w:val="18"/>
          <w:szCs w:val="18"/>
          <w:lang w:eastAsia="ru-RU"/>
        </w:rPr>
        <w:br/>
        <w:t>раствора химдобавок по массе или объему  ±2.</w:t>
      </w:r>
      <w:r w:rsidRPr="00A4614F">
        <w:rPr>
          <w:rFonts w:ascii="Verdana" w:eastAsia="Times New Roman" w:hAnsi="Verdana" w:cs="Times New Roman"/>
          <w:color w:val="333333"/>
          <w:sz w:val="18"/>
          <w:szCs w:val="18"/>
          <w:lang w:eastAsia="ru-RU"/>
        </w:rPr>
        <w:br/>
        <w:t>5.6. Арболитовая смесь должна приготовляться в смесителях принудительного цикличного действия типа СБ-35 (С-773), СБ-62 (С-951) или лопастных растворо-смесителях типа С-209, СМ-290.</w:t>
      </w:r>
      <w:r w:rsidRPr="00A4614F">
        <w:rPr>
          <w:rFonts w:ascii="Verdana" w:eastAsia="Times New Roman" w:hAnsi="Verdana" w:cs="Times New Roman"/>
          <w:color w:val="333333"/>
          <w:sz w:val="18"/>
          <w:szCs w:val="18"/>
          <w:lang w:eastAsia="ru-RU"/>
        </w:rPr>
        <w:br/>
        <w:t>5.7. Должна соблюдаться следующая последовательность загрузки смесителей составляющими арболитовой смеси:</w:t>
      </w:r>
      <w:r w:rsidRPr="00A4614F">
        <w:rPr>
          <w:rFonts w:ascii="Verdana" w:eastAsia="Times New Roman" w:hAnsi="Verdana" w:cs="Times New Roman"/>
          <w:color w:val="333333"/>
          <w:sz w:val="18"/>
          <w:szCs w:val="18"/>
          <w:lang w:eastAsia="ru-RU"/>
        </w:rPr>
        <w:br/>
        <w:t>при предварительном замачивании дробленки – древесная дробленка, цемент. Раствор химических добавок подается в течение всего времени загрузки;</w:t>
      </w:r>
      <w:r w:rsidRPr="00A4614F">
        <w:rPr>
          <w:rFonts w:ascii="Verdana" w:eastAsia="Times New Roman" w:hAnsi="Verdana" w:cs="Times New Roman"/>
          <w:color w:val="333333"/>
          <w:sz w:val="18"/>
          <w:szCs w:val="18"/>
          <w:lang w:eastAsia="ru-RU"/>
        </w:rPr>
        <w:br/>
        <w:t>при применении дробленки с равновесной влажностью (относительная влажность до 30 %) – древесная дробленка, растворы химических добавок, цемент, вода. Вода может заменяться водным раствором химической добавки.</w:t>
      </w:r>
      <w:r w:rsidRPr="00A4614F">
        <w:rPr>
          <w:rFonts w:ascii="Verdana" w:eastAsia="Times New Roman" w:hAnsi="Verdana" w:cs="Times New Roman"/>
          <w:color w:val="333333"/>
          <w:sz w:val="18"/>
          <w:szCs w:val="18"/>
          <w:lang w:eastAsia="ru-RU"/>
        </w:rPr>
        <w:br/>
        <w:t>Допускается применять двухстадийное перемешивание. Для этого часть цемента (примерно 15–20 % общего его количества на замес), подогретого до температуры 150–250 °С, перемешивают в течение 1–2 мин с органическим заполнителем, а затем в смесь добавляют остальную часть цемента (с нормальной температурой) и воду, подогретую до 80 °С, а также раствор химической добавки, после чего смесь перемешивают обычным порядком в течение 2–3 мин.</w:t>
      </w:r>
      <w:r w:rsidRPr="00A4614F">
        <w:rPr>
          <w:rFonts w:ascii="Verdana" w:eastAsia="Times New Roman" w:hAnsi="Verdana" w:cs="Times New Roman"/>
          <w:color w:val="333333"/>
          <w:sz w:val="18"/>
          <w:szCs w:val="18"/>
          <w:lang w:eastAsia="ru-RU"/>
        </w:rPr>
        <w:br/>
        <w:t>5.8. Вода к смесителю должна подаваться по трубопроводу с регулируемой подачей.</w:t>
      </w:r>
      <w:r w:rsidRPr="00A4614F">
        <w:rPr>
          <w:rFonts w:ascii="Verdana" w:eastAsia="Times New Roman" w:hAnsi="Verdana" w:cs="Times New Roman"/>
          <w:color w:val="333333"/>
          <w:sz w:val="18"/>
          <w:szCs w:val="18"/>
          <w:lang w:eastAsia="ru-RU"/>
        </w:rPr>
        <w:br/>
        <w:t>5.9. Продолжительность перемешивания арболитовой смеси, считая с момента загрузки всех материалов и смеситель циклического действия и до начала ее выгрузки, определяется опытным путем и должна быть не менее 3 мин.</w:t>
      </w:r>
      <w:r w:rsidRPr="00A4614F">
        <w:rPr>
          <w:rFonts w:ascii="Verdana" w:eastAsia="Times New Roman" w:hAnsi="Verdana" w:cs="Times New Roman"/>
          <w:color w:val="333333"/>
          <w:sz w:val="18"/>
          <w:szCs w:val="18"/>
          <w:lang w:eastAsia="ru-RU"/>
        </w:rPr>
        <w:br/>
        <w:t>5.10. Поданная к месту укладки арболитовая смесь должна иметь:</w:t>
      </w:r>
      <w:r w:rsidRPr="00A4614F">
        <w:rPr>
          <w:rFonts w:ascii="Verdana" w:eastAsia="Times New Roman" w:hAnsi="Verdana" w:cs="Times New Roman"/>
          <w:color w:val="333333"/>
          <w:sz w:val="18"/>
          <w:szCs w:val="18"/>
          <w:lang w:eastAsia="ru-RU"/>
        </w:rPr>
        <w:br/>
        <w:t>требуемую плотность в уплотненном состоянии с отклонениями не более ±5%;</w:t>
      </w:r>
      <w:r w:rsidRPr="00A4614F">
        <w:rPr>
          <w:rFonts w:ascii="Verdana" w:eastAsia="Times New Roman" w:hAnsi="Verdana" w:cs="Times New Roman"/>
          <w:color w:val="333333"/>
          <w:sz w:val="18"/>
          <w:szCs w:val="18"/>
          <w:lang w:eastAsia="ru-RU"/>
        </w:rPr>
        <w:br/>
        <w:t>показатель расслоения не более 10%;</w:t>
      </w:r>
      <w:r w:rsidRPr="00A4614F">
        <w:rPr>
          <w:rFonts w:ascii="Verdana" w:eastAsia="Times New Roman" w:hAnsi="Verdana" w:cs="Times New Roman"/>
          <w:color w:val="333333"/>
          <w:sz w:val="18"/>
          <w:szCs w:val="18"/>
          <w:lang w:eastAsia="ru-RU"/>
        </w:rPr>
        <w:br/>
        <w:t>показатель отделимости цементного теста в пределах 20–30 с;</w:t>
      </w:r>
      <w:r w:rsidRPr="00A4614F">
        <w:rPr>
          <w:rFonts w:ascii="Verdana" w:eastAsia="Times New Roman" w:hAnsi="Verdana" w:cs="Times New Roman"/>
          <w:color w:val="333333"/>
          <w:sz w:val="18"/>
          <w:szCs w:val="18"/>
          <w:lang w:eastAsia="ru-RU"/>
        </w:rPr>
        <w:br/>
        <w:t>температуру в пределах 10–30 °С.</w:t>
      </w:r>
      <w:r w:rsidRPr="00A4614F">
        <w:rPr>
          <w:rFonts w:ascii="Verdana" w:eastAsia="Times New Roman" w:hAnsi="Verdana" w:cs="Times New Roman"/>
          <w:color w:val="333333"/>
          <w:sz w:val="18"/>
          <w:szCs w:val="18"/>
          <w:lang w:eastAsia="ru-RU"/>
        </w:rPr>
        <w:br/>
        <w:t>Арболитовая смесь должна иметь жесткость 20–45 с по техническому вискозиметру или подвижность не менее 2 см по осадке конуса.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5.11. Арболитовая смесь от смесителя к месту укладки должна транспортироваться бетонораздатчиками, кюбелями и другими транспортными средствами, исключающими ее расслаивание и потерю составляющих.</w:t>
      </w:r>
      <w:r w:rsidRPr="00A4614F">
        <w:rPr>
          <w:rFonts w:ascii="Verdana" w:eastAsia="Times New Roman" w:hAnsi="Verdana" w:cs="Times New Roman"/>
          <w:color w:val="333333"/>
          <w:sz w:val="18"/>
          <w:szCs w:val="18"/>
          <w:lang w:eastAsia="ru-RU"/>
        </w:rPr>
        <w:br/>
        <w:t>5.12. Подача арболитовой смеси ленточными транспортерами допускается при условии, что количество перегрузок должно быть не более двух; угол наклона транспортера – не более 15° при подъеме смеси и 10° – при ее спуске, длина транспортера – не более 30 м, скорость движения ленты транспортера не должна превышать 1 м/с.</w:t>
      </w:r>
      <w:r w:rsidRPr="00A4614F">
        <w:rPr>
          <w:rFonts w:ascii="Verdana" w:eastAsia="Times New Roman" w:hAnsi="Verdana" w:cs="Times New Roman"/>
          <w:color w:val="333333"/>
          <w:sz w:val="18"/>
          <w:szCs w:val="18"/>
          <w:lang w:eastAsia="ru-RU"/>
        </w:rPr>
        <w:br/>
        <w:t>5.13. Высота падения арболитовой смеси при перегрузках не должна превышать 1 м до верхней кромки приемного бункера.</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6.  Формирование конструкций из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6.1. Допускаются следующие способы формирования и уплотнения конструкций из арболитовой смеси:</w:t>
      </w:r>
      <w:r w:rsidRPr="00A4614F">
        <w:rPr>
          <w:rFonts w:ascii="Verdana" w:eastAsia="Times New Roman" w:hAnsi="Verdana" w:cs="Times New Roman"/>
          <w:color w:val="333333"/>
          <w:sz w:val="18"/>
          <w:szCs w:val="18"/>
          <w:lang w:eastAsia="ru-RU"/>
        </w:rPr>
        <w:br/>
        <w:t>послойное укатывание,</w:t>
      </w:r>
      <w:r w:rsidRPr="00A4614F">
        <w:rPr>
          <w:rFonts w:ascii="Verdana" w:eastAsia="Times New Roman" w:hAnsi="Verdana" w:cs="Times New Roman"/>
          <w:color w:val="333333"/>
          <w:sz w:val="18"/>
          <w:szCs w:val="18"/>
          <w:lang w:eastAsia="ru-RU"/>
        </w:rPr>
        <w:br/>
        <w:t>силовой вибропрокат,</w:t>
      </w:r>
      <w:r w:rsidRPr="00A4614F">
        <w:rPr>
          <w:rFonts w:ascii="Verdana" w:eastAsia="Times New Roman" w:hAnsi="Verdana" w:cs="Times New Roman"/>
          <w:color w:val="333333"/>
          <w:sz w:val="18"/>
          <w:szCs w:val="18"/>
          <w:lang w:eastAsia="ru-RU"/>
        </w:rPr>
        <w:br/>
        <w:t>вибропрессование,</w:t>
      </w:r>
      <w:r w:rsidRPr="00A4614F">
        <w:rPr>
          <w:rFonts w:ascii="Verdana" w:eastAsia="Times New Roman" w:hAnsi="Verdana" w:cs="Times New Roman"/>
          <w:color w:val="333333"/>
          <w:sz w:val="18"/>
          <w:szCs w:val="18"/>
          <w:lang w:eastAsia="ru-RU"/>
        </w:rPr>
        <w:br/>
        <w:t>прессование,</w:t>
      </w:r>
      <w:r w:rsidRPr="00A4614F">
        <w:rPr>
          <w:rFonts w:ascii="Verdana" w:eastAsia="Times New Roman" w:hAnsi="Verdana" w:cs="Times New Roman"/>
          <w:color w:val="333333"/>
          <w:sz w:val="18"/>
          <w:szCs w:val="18"/>
          <w:lang w:eastAsia="ru-RU"/>
        </w:rPr>
        <w:br/>
        <w:t>послойное механическое требование,</w:t>
      </w:r>
      <w:r w:rsidRPr="00A4614F">
        <w:rPr>
          <w:rFonts w:ascii="Verdana" w:eastAsia="Times New Roman" w:hAnsi="Verdana" w:cs="Times New Roman"/>
          <w:color w:val="333333"/>
          <w:sz w:val="18"/>
          <w:szCs w:val="18"/>
          <w:lang w:eastAsia="ru-RU"/>
        </w:rPr>
        <w:br/>
        <w:t>уплотнение на виброплощадках.</w:t>
      </w:r>
      <w:r w:rsidRPr="00A4614F">
        <w:rPr>
          <w:rFonts w:ascii="Verdana" w:eastAsia="Times New Roman" w:hAnsi="Verdana" w:cs="Times New Roman"/>
          <w:color w:val="333333"/>
          <w:sz w:val="18"/>
          <w:szCs w:val="18"/>
          <w:lang w:eastAsia="ru-RU"/>
        </w:rPr>
        <w:br/>
        <w:t>Методы формирования конструкций из арболита должны выбираться в зависимости от требуемой плотности арболита, вида конструкции, наличия оборудования и обосновываться технико-экономическим расчетом.</w:t>
      </w:r>
      <w:r w:rsidRPr="00A4614F">
        <w:rPr>
          <w:rFonts w:ascii="Verdana" w:eastAsia="Times New Roman" w:hAnsi="Verdana" w:cs="Times New Roman"/>
          <w:color w:val="333333"/>
          <w:sz w:val="18"/>
          <w:szCs w:val="18"/>
          <w:lang w:eastAsia="ru-RU"/>
        </w:rPr>
        <w:br/>
        <w:t>6.2. Конструкция из арболитовой смеси формуют в горизонтальных или вертикальных металлических формах, снабженных при необходимости зажимными металлическими крышками, которые снимают после приобретения арболитом распалубочной прочности.</w:t>
      </w:r>
      <w:r w:rsidRPr="00A4614F">
        <w:rPr>
          <w:rFonts w:ascii="Verdana" w:eastAsia="Times New Roman" w:hAnsi="Verdana" w:cs="Times New Roman"/>
          <w:color w:val="333333"/>
          <w:sz w:val="18"/>
          <w:szCs w:val="18"/>
          <w:lang w:eastAsia="ru-RU"/>
        </w:rPr>
        <w:br/>
        <w:t>Формы должны удовлетворять требованиям ГОСТ 18886–73.</w:t>
      </w:r>
      <w:r w:rsidRPr="00A4614F">
        <w:rPr>
          <w:rFonts w:ascii="Verdana" w:eastAsia="Times New Roman" w:hAnsi="Verdana" w:cs="Times New Roman"/>
          <w:color w:val="333333"/>
          <w:sz w:val="18"/>
          <w:szCs w:val="18"/>
          <w:lang w:eastAsia="ru-RU"/>
        </w:rPr>
        <w:br/>
        <w:t>6.3. Перед формированием поддоны и бортоснастка должны быть тщательно очищены, формы собраны и смазаны. В зимнее время формы должны иметь положительную температуру, но не более 40 °С.</w:t>
      </w:r>
      <w:r w:rsidRPr="00A4614F">
        <w:rPr>
          <w:rFonts w:ascii="Verdana" w:eastAsia="Times New Roman" w:hAnsi="Verdana" w:cs="Times New Roman"/>
          <w:color w:val="333333"/>
          <w:sz w:val="18"/>
          <w:szCs w:val="18"/>
          <w:lang w:eastAsia="ru-RU"/>
        </w:rPr>
        <w:br/>
        <w:t>6.4. Арматура и накладные изделия в формах должны устанавливаться в соответствии с требованиями проекта. Для предупреждения смещений и обеспечения требуемой толщины защитного слоя бетона арматуру и накладные изделия следует фиксировать специальными приспособлениями.</w:t>
      </w:r>
      <w:r w:rsidRPr="00A4614F">
        <w:rPr>
          <w:rFonts w:ascii="Verdana" w:eastAsia="Times New Roman" w:hAnsi="Verdana" w:cs="Times New Roman"/>
          <w:color w:val="333333"/>
          <w:sz w:val="18"/>
          <w:szCs w:val="18"/>
          <w:lang w:eastAsia="ru-RU"/>
        </w:rPr>
        <w:br/>
        <w:t>6.5. При закладке арболитовой смеси в формы необходимо соблюдать следующие требования:</w:t>
      </w:r>
      <w:r w:rsidRPr="00A4614F">
        <w:rPr>
          <w:rFonts w:ascii="Verdana" w:eastAsia="Times New Roman" w:hAnsi="Verdana" w:cs="Times New Roman"/>
          <w:color w:val="333333"/>
          <w:sz w:val="18"/>
          <w:szCs w:val="18"/>
          <w:lang w:eastAsia="ru-RU"/>
        </w:rPr>
        <w:br/>
        <w:t>время от момента выгрузки из смесителя до укладки должно быть не более 30 мин для арболитовой смеси и 20 мин для поризованной арболитовой смеси;</w:t>
      </w:r>
      <w:r w:rsidRPr="00A4614F">
        <w:rPr>
          <w:rFonts w:ascii="Verdana" w:eastAsia="Times New Roman" w:hAnsi="Verdana" w:cs="Times New Roman"/>
          <w:color w:val="333333"/>
          <w:sz w:val="18"/>
          <w:szCs w:val="18"/>
          <w:lang w:eastAsia="ru-RU"/>
        </w:rPr>
        <w:br/>
        <w:t>применять специальные бетоноукладчики и другие механизмы с рабочими органами, обеспечивающими равномерное распределение смеси по всей площади формуемой конструкции;</w:t>
      </w:r>
      <w:r w:rsidRPr="00A4614F">
        <w:rPr>
          <w:rFonts w:ascii="Verdana" w:eastAsia="Times New Roman" w:hAnsi="Verdana" w:cs="Times New Roman"/>
          <w:color w:val="333333"/>
          <w:sz w:val="18"/>
          <w:szCs w:val="18"/>
          <w:lang w:eastAsia="ru-RU"/>
        </w:rPr>
        <w:br/>
        <w:t>поверхности деревянных дверных и оконных коробок, соприкасающиеся с арболитом, должны быть изолированы гидрофобными антисептирующими смазками, слоем водонепроницаемой бумаги или пленкой в соответствии с проектом;</w:t>
      </w:r>
      <w:r w:rsidRPr="00A4614F">
        <w:rPr>
          <w:rFonts w:ascii="Verdana" w:eastAsia="Times New Roman" w:hAnsi="Verdana" w:cs="Times New Roman"/>
          <w:color w:val="333333"/>
          <w:sz w:val="18"/>
          <w:szCs w:val="18"/>
          <w:lang w:eastAsia="ru-RU"/>
        </w:rPr>
        <w:br/>
        <w:t>арболитовую смесь укладывать без перерывов. Допускаются перерывы при укладке отдельных слоев до 20 мин.</w:t>
      </w:r>
      <w:r w:rsidRPr="00A4614F">
        <w:rPr>
          <w:rFonts w:ascii="Verdana" w:eastAsia="Times New Roman" w:hAnsi="Verdana" w:cs="Times New Roman"/>
          <w:color w:val="333333"/>
          <w:sz w:val="18"/>
          <w:szCs w:val="18"/>
          <w:lang w:eastAsia="ru-RU"/>
        </w:rPr>
        <w:br/>
        <w:t>6.6. При уплотнении арболитовых смесей необходимо:</w:t>
      </w:r>
      <w:r w:rsidRPr="00A4614F">
        <w:rPr>
          <w:rFonts w:ascii="Verdana" w:eastAsia="Times New Roman" w:hAnsi="Verdana" w:cs="Times New Roman"/>
          <w:color w:val="333333"/>
          <w:sz w:val="18"/>
          <w:szCs w:val="18"/>
          <w:lang w:eastAsia="ru-RU"/>
        </w:rPr>
        <w:br/>
        <w:t>обеспечивать расчетное уплотнение смеси по всему объему конструкции;</w:t>
      </w:r>
      <w:r w:rsidRPr="00A4614F">
        <w:rPr>
          <w:rFonts w:ascii="Verdana" w:eastAsia="Times New Roman" w:hAnsi="Verdana" w:cs="Times New Roman"/>
          <w:color w:val="333333"/>
          <w:sz w:val="18"/>
          <w:szCs w:val="18"/>
          <w:lang w:eastAsia="ru-RU"/>
        </w:rPr>
        <w:br/>
        <w:t>не допускать расслоения арболитовой смеси в верхнем слое конструкции, а также оседания цементного теста в нижнем слое;</w:t>
      </w:r>
      <w:r w:rsidRPr="00A4614F">
        <w:rPr>
          <w:rFonts w:ascii="Verdana" w:eastAsia="Times New Roman" w:hAnsi="Verdana" w:cs="Times New Roman"/>
          <w:color w:val="333333"/>
          <w:sz w:val="18"/>
          <w:szCs w:val="18"/>
          <w:lang w:eastAsia="ru-RU"/>
        </w:rPr>
        <w:br/>
        <w:t>добиваться равномерной укладки арболитовой смеси, соблюдая горизонтальность уложенных слоев;</w:t>
      </w:r>
      <w:r w:rsidRPr="00A4614F">
        <w:rPr>
          <w:rFonts w:ascii="Verdana" w:eastAsia="Times New Roman" w:hAnsi="Verdana" w:cs="Times New Roman"/>
          <w:color w:val="333333"/>
          <w:sz w:val="18"/>
          <w:szCs w:val="18"/>
          <w:lang w:eastAsia="ru-RU"/>
        </w:rPr>
        <w:br/>
        <w:t>не допускать вытекания цементного теста из формы;</w:t>
      </w:r>
      <w:r w:rsidRPr="00A4614F">
        <w:rPr>
          <w:rFonts w:ascii="Verdana" w:eastAsia="Times New Roman" w:hAnsi="Verdana" w:cs="Times New Roman"/>
          <w:color w:val="333333"/>
          <w:sz w:val="18"/>
          <w:szCs w:val="18"/>
          <w:lang w:eastAsia="ru-RU"/>
        </w:rPr>
        <w:br/>
        <w:t>тщательно уплотнять смесь у бортов формы и закладных деталей.</w:t>
      </w:r>
      <w:r w:rsidRPr="00A4614F">
        <w:rPr>
          <w:rFonts w:ascii="Verdana" w:eastAsia="Times New Roman" w:hAnsi="Verdana" w:cs="Times New Roman"/>
          <w:color w:val="333333"/>
          <w:sz w:val="18"/>
          <w:szCs w:val="18"/>
          <w:lang w:eastAsia="ru-RU"/>
        </w:rPr>
        <w:br/>
        <w:t>6.7. Арболитовые смеси в горизонтальных формах на установке послойного формования СМЖ-506 должны уплотняться с учетом следующих требований:</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толщина уплотняемого слоя арболитовой смеси должна быть не более 100 мм;</w:t>
      </w:r>
      <w:r w:rsidRPr="00A4614F">
        <w:rPr>
          <w:rFonts w:ascii="Verdana" w:eastAsia="Times New Roman" w:hAnsi="Verdana" w:cs="Times New Roman"/>
          <w:color w:val="333333"/>
          <w:sz w:val="18"/>
          <w:szCs w:val="18"/>
          <w:lang w:eastAsia="ru-RU"/>
        </w:rPr>
        <w:br/>
        <w:t>число слоев должно составлять 2–4;</w:t>
      </w:r>
      <w:r w:rsidRPr="00A4614F">
        <w:rPr>
          <w:rFonts w:ascii="Verdana" w:eastAsia="Times New Roman" w:hAnsi="Verdana" w:cs="Times New Roman"/>
          <w:color w:val="333333"/>
          <w:sz w:val="18"/>
          <w:szCs w:val="18"/>
          <w:lang w:eastAsia="ru-RU"/>
        </w:rPr>
        <w:br/>
        <w:t>коэффициент уплотнения арболитовой смеси, определяемый расчетно-экспери</w:t>
      </w:r>
      <w:r w:rsidRPr="00A4614F">
        <w:rPr>
          <w:rFonts w:ascii="Verdana" w:eastAsia="Times New Roman" w:hAnsi="Verdana" w:cs="Times New Roman"/>
          <w:color w:val="333333"/>
          <w:sz w:val="18"/>
          <w:szCs w:val="18"/>
          <w:lang w:eastAsia="ru-RU"/>
        </w:rPr>
        <w:softHyphen/>
        <w:t>ментальным методом в зависимости от класса арболита по прочности и контролируемый в процессе формирования, должен быть не более: для класса В0,5 – 1,15; В0,75 – 1,25; В1 – 1,3; В1,5 – 1,6; В2 – 1,8; В2,5; В3,5 – 2;</w:t>
      </w:r>
      <w:r w:rsidRPr="00A4614F">
        <w:rPr>
          <w:rFonts w:ascii="Verdana" w:eastAsia="Times New Roman" w:hAnsi="Verdana" w:cs="Times New Roman"/>
          <w:color w:val="333333"/>
          <w:sz w:val="18"/>
          <w:szCs w:val="18"/>
          <w:lang w:eastAsia="ru-RU"/>
        </w:rPr>
        <w:br/>
        <w:t>укатывание смеси каждого слоя производить не менее чем за один челночный проход укатывающей тележки.</w:t>
      </w:r>
      <w:r w:rsidRPr="00A4614F">
        <w:rPr>
          <w:rFonts w:ascii="Verdana" w:eastAsia="Times New Roman" w:hAnsi="Verdana" w:cs="Times New Roman"/>
          <w:color w:val="333333"/>
          <w:sz w:val="18"/>
          <w:szCs w:val="18"/>
          <w:lang w:eastAsia="ru-RU"/>
        </w:rPr>
        <w:br/>
        <w:t>6.8. При формовании конструкций с немедленной распалубкой технологические параметры должны выбираться с учетом сохранения целостности кромок конструкции, обеспечения минимальных деформация арболита на всех последующих операциях и отклонений от проектных размеров конструкций после затвердения в соответствии с ГОСТ 19222–73, а также стандартов или технических условий на данный вид конструкций.</w:t>
      </w:r>
      <w:r w:rsidRPr="00A4614F">
        <w:rPr>
          <w:rFonts w:ascii="Verdana" w:eastAsia="Times New Roman" w:hAnsi="Verdana" w:cs="Times New Roman"/>
          <w:color w:val="333333"/>
          <w:sz w:val="18"/>
          <w:szCs w:val="18"/>
          <w:lang w:eastAsia="ru-RU"/>
        </w:rPr>
        <w:br/>
        <w:t>6.9. Отделку наружных поверхностей конструкций следует производить материалами и способами, указанными в проекте. Допускается применять для отделки наружных поверхностей конструкций из арболита материалы и способы, указанные в Инструкции по изготовлению изделий из ячеистого бетона.</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7. Твердение конструкций из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7.1. Отформованные конструкции из арболита должны твердеть в условиях, обеспечивающих достижение арболитом распалубочной или отпускной прочности в наиболее короткие сроки при соблюдении требований по экономии цемента и качеству готовых конструкций.</w:t>
      </w:r>
      <w:r w:rsidRPr="00A4614F">
        <w:rPr>
          <w:rFonts w:ascii="Verdana" w:eastAsia="Times New Roman" w:hAnsi="Verdana" w:cs="Times New Roman"/>
          <w:color w:val="333333"/>
          <w:sz w:val="18"/>
          <w:szCs w:val="18"/>
          <w:lang w:eastAsia="ru-RU"/>
        </w:rPr>
        <w:br/>
        <w:t>7.2. Твердение конструкций из арболита должно осуществляться следующими способами:</w:t>
      </w:r>
      <w:r w:rsidRPr="00A4614F">
        <w:rPr>
          <w:rFonts w:ascii="Verdana" w:eastAsia="Times New Roman" w:hAnsi="Verdana" w:cs="Times New Roman"/>
          <w:color w:val="333333"/>
          <w:sz w:val="18"/>
          <w:szCs w:val="18"/>
          <w:lang w:eastAsia="ru-RU"/>
        </w:rPr>
        <w:br/>
        <w:t>в естественных условиях при температуре воздуха не ниже 15 °С и относительной влажности воздуха 60-80 %;</w:t>
      </w:r>
      <w:r w:rsidRPr="00A4614F">
        <w:rPr>
          <w:rFonts w:ascii="Verdana" w:eastAsia="Times New Roman" w:hAnsi="Verdana" w:cs="Times New Roman"/>
          <w:color w:val="333333"/>
          <w:sz w:val="18"/>
          <w:szCs w:val="18"/>
          <w:lang w:eastAsia="ru-RU"/>
        </w:rPr>
        <w:br/>
        <w:t>тепловой обработкой в камерах при температуре не более 40 °С и относительной влажности воздуха 50-60 %;</w:t>
      </w:r>
      <w:r w:rsidRPr="00A4614F">
        <w:rPr>
          <w:rFonts w:ascii="Verdana" w:eastAsia="Times New Roman" w:hAnsi="Verdana" w:cs="Times New Roman"/>
          <w:color w:val="333333"/>
          <w:sz w:val="18"/>
          <w:szCs w:val="18"/>
          <w:lang w:eastAsia="ru-RU"/>
        </w:rPr>
        <w:br/>
        <w:t>электропрогревом при температуре не более 50 °С.</w:t>
      </w:r>
      <w:r w:rsidRPr="00A4614F">
        <w:rPr>
          <w:rFonts w:ascii="Verdana" w:eastAsia="Times New Roman" w:hAnsi="Verdana" w:cs="Times New Roman"/>
          <w:color w:val="333333"/>
          <w:sz w:val="18"/>
          <w:szCs w:val="18"/>
          <w:lang w:eastAsia="ru-RU"/>
        </w:rPr>
        <w:br/>
        <w:t>7.3. Для конструкций из арболита режим тепловой обработки должен обеспечивать как требуемую отпускную и проектную прочность, так и отпускную влажность арболита в конструкциях.</w:t>
      </w:r>
      <w:r w:rsidRPr="00A4614F">
        <w:rPr>
          <w:rFonts w:ascii="Verdana" w:eastAsia="Times New Roman" w:hAnsi="Verdana" w:cs="Times New Roman"/>
          <w:color w:val="333333"/>
          <w:sz w:val="18"/>
          <w:szCs w:val="18"/>
          <w:lang w:eastAsia="ru-RU"/>
        </w:rPr>
        <w:br/>
        <w:t>Тепловую обработку конструкций, офактуренных с двух сторон раствором, необходимо производить в камерах при температуре не более 60 °С, оборудованных термоэлектронагревателями (ТЭНами), калориферами, инфракрасными излучателями или газовыми горелками с устройством в них дополнительной вентиляции. Тепловая обработка конструкций из арболита в среде насыщенного пара или паровоздушной среде, а также на термоподдонах не допускается.</w:t>
      </w:r>
      <w:r w:rsidRPr="00A4614F">
        <w:rPr>
          <w:rFonts w:ascii="Verdana" w:eastAsia="Times New Roman" w:hAnsi="Verdana" w:cs="Times New Roman"/>
          <w:color w:val="333333"/>
          <w:sz w:val="18"/>
          <w:szCs w:val="18"/>
          <w:lang w:eastAsia="ru-RU"/>
        </w:rPr>
        <w:br/>
        <w:t>7.4. При назначении общего цикла твердения следует учитывать вид древесного заполнителя и химических добавок, способ твердения, величину распалубочной и отпускной прочности и длительность выдерживания конструкций после тепловой обработки.</w:t>
      </w:r>
      <w:r w:rsidRPr="00A4614F">
        <w:rPr>
          <w:rFonts w:ascii="Verdana" w:eastAsia="Times New Roman" w:hAnsi="Verdana" w:cs="Times New Roman"/>
          <w:color w:val="333333"/>
          <w:sz w:val="18"/>
          <w:szCs w:val="18"/>
          <w:lang w:eastAsia="ru-RU"/>
        </w:rPr>
        <w:br/>
        <w:t>7.5. При твердении конструкций, изготовленных на портландцементе марки 400 и более, в естественных условиях при температуре (20±2) °С и относительной влажности воздуха (70±10) % арболит приобретает прочность при сжатии 50 % от средней прочности</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w:t>
      </w:r>
      <w:r w:rsidRPr="00A4614F">
        <w:rPr>
          <w:rFonts w:ascii="Verdana" w:eastAsia="Times New Roman" w:hAnsi="Verdana" w:cs="Times New Roman"/>
          <w:color w:val="333333"/>
          <w:sz w:val="18"/>
          <w:szCs w:val="18"/>
          <w:lang w:eastAsia="ru-RU"/>
        </w:rPr>
        <w:t>сж (см. п. 3.9) через 3–5 сут, на БТЦ – через 1–2 сут.</w:t>
      </w:r>
      <w:r w:rsidRPr="00A4614F">
        <w:rPr>
          <w:rFonts w:ascii="Verdana" w:eastAsia="Times New Roman" w:hAnsi="Verdana" w:cs="Times New Roman"/>
          <w:color w:val="333333"/>
          <w:sz w:val="18"/>
          <w:szCs w:val="18"/>
          <w:lang w:eastAsia="ru-RU"/>
        </w:rPr>
        <w:br/>
        <w:t>7.6. При тепловой обработке конструкций из арболита в камерах при температуре 40 °С и относительной влажности воздуха 50–60 % длительность отдельных периодов должна назначаться в соответствии со следующими требованиями:</w:t>
      </w:r>
      <w:r w:rsidRPr="00A4614F">
        <w:rPr>
          <w:rFonts w:ascii="Verdana" w:eastAsia="Times New Roman" w:hAnsi="Verdana" w:cs="Times New Roman"/>
          <w:color w:val="333333"/>
          <w:sz w:val="18"/>
          <w:szCs w:val="18"/>
          <w:lang w:eastAsia="ru-RU"/>
        </w:rPr>
        <w:br/>
        <w:t>продолжительность выдерживания отформованных конструкций до начала тепловой обработки должна быть не менее 12 ч;</w:t>
      </w:r>
      <w:r w:rsidRPr="00A4614F">
        <w:rPr>
          <w:rFonts w:ascii="Verdana" w:eastAsia="Times New Roman" w:hAnsi="Verdana" w:cs="Times New Roman"/>
          <w:color w:val="333333"/>
          <w:sz w:val="18"/>
          <w:szCs w:val="18"/>
          <w:lang w:eastAsia="ru-RU"/>
        </w:rPr>
        <w:br/>
        <w:t>скорость подъема температуры среды в камере и скорость остывания конструкций после изотермического прогрева должна быть не более 10 °С/ч;</w:t>
      </w:r>
      <w:r w:rsidRPr="00A4614F">
        <w:rPr>
          <w:rFonts w:ascii="Verdana" w:eastAsia="Times New Roman" w:hAnsi="Verdana" w:cs="Times New Roman"/>
          <w:color w:val="333333"/>
          <w:sz w:val="18"/>
          <w:szCs w:val="18"/>
          <w:lang w:eastAsia="ru-RU"/>
        </w:rPr>
        <w:br/>
        <w:t xml:space="preserve">изотермический прогрев должен осуществляться при температуре теплоносителя не более 40 °С, относительной влажности теплоносителя 50–60 % и скорости его движения 2–3 м/ч в течение </w:t>
      </w:r>
      <w:r w:rsidRPr="00A4614F">
        <w:rPr>
          <w:rFonts w:ascii="Verdana" w:eastAsia="Times New Roman" w:hAnsi="Verdana" w:cs="Times New Roman"/>
          <w:color w:val="333333"/>
          <w:sz w:val="18"/>
          <w:szCs w:val="18"/>
          <w:lang w:eastAsia="ru-RU"/>
        </w:rPr>
        <w:lastRenderedPageBreak/>
        <w:t>12–14 ч.</w:t>
      </w:r>
      <w:r w:rsidRPr="00A4614F">
        <w:rPr>
          <w:rFonts w:ascii="Verdana" w:eastAsia="Times New Roman" w:hAnsi="Verdana" w:cs="Times New Roman"/>
          <w:color w:val="333333"/>
          <w:sz w:val="18"/>
          <w:szCs w:val="18"/>
          <w:lang w:eastAsia="ru-RU"/>
        </w:rPr>
        <w:br/>
        <w:t>Общий цикл тепловой обработки при этих условиях не должен превышать 24 ч.</w:t>
      </w:r>
      <w:r w:rsidRPr="00A4614F">
        <w:rPr>
          <w:rFonts w:ascii="Verdana" w:eastAsia="Times New Roman" w:hAnsi="Verdana" w:cs="Times New Roman"/>
          <w:color w:val="333333"/>
          <w:sz w:val="18"/>
          <w:szCs w:val="18"/>
          <w:lang w:eastAsia="ru-RU"/>
        </w:rPr>
        <w:br/>
        <w:t>Примечание. При тепловой обработке конструкций из арболита, офактуренных с двух сторон раствором, в формах температура теплоносителя может быть повышена до 50–60 °С.</w:t>
      </w:r>
      <w:r w:rsidRPr="00A4614F">
        <w:rPr>
          <w:rFonts w:ascii="Verdana" w:eastAsia="Times New Roman" w:hAnsi="Verdana" w:cs="Times New Roman"/>
          <w:color w:val="333333"/>
          <w:sz w:val="18"/>
          <w:szCs w:val="18"/>
          <w:lang w:eastAsia="ru-RU"/>
        </w:rPr>
        <w:br/>
        <w:t>7.7. Элетротермообработку конструкций из арболита следует осуществлять электропрогревом и электрообогревом.</w:t>
      </w:r>
      <w:r w:rsidRPr="00A4614F">
        <w:rPr>
          <w:rFonts w:ascii="Verdana" w:eastAsia="Times New Roman" w:hAnsi="Verdana" w:cs="Times New Roman"/>
          <w:color w:val="333333"/>
          <w:sz w:val="18"/>
          <w:szCs w:val="18"/>
          <w:lang w:eastAsia="ru-RU"/>
        </w:rPr>
        <w:br/>
        <w:t>При электропрогреве следует применять электроды из металлических стержней и струн диаметром не менее 6 мм или из полос шириной не менее 15 мм, выполненных из листовой стали и прикрепленных на внутренних поверхностях форм, а также специальными щитами, устанавливаемыми на открытую поверхность конструкций.</w:t>
      </w:r>
      <w:r w:rsidRPr="00A4614F">
        <w:rPr>
          <w:rFonts w:ascii="Verdana" w:eastAsia="Times New Roman" w:hAnsi="Verdana" w:cs="Times New Roman"/>
          <w:color w:val="333333"/>
          <w:sz w:val="18"/>
          <w:szCs w:val="18"/>
          <w:lang w:eastAsia="ru-RU"/>
        </w:rPr>
        <w:br/>
        <w:t>При электрообогреве следует применять нагреватели инфракрасного излучения или низкотемпературные нагреватели (сетчатые, коаксиальные, ТЭНы).</w:t>
      </w:r>
      <w:r w:rsidRPr="00A4614F">
        <w:rPr>
          <w:rFonts w:ascii="Verdana" w:eastAsia="Times New Roman" w:hAnsi="Verdana" w:cs="Times New Roman"/>
          <w:color w:val="333333"/>
          <w:sz w:val="18"/>
          <w:szCs w:val="18"/>
          <w:lang w:eastAsia="ru-RU"/>
        </w:rPr>
        <w:br/>
        <w:t>Предварительный разогрев смеси электроэнергией допускается до температуры 40 °С.</w:t>
      </w:r>
      <w:r w:rsidRPr="00A4614F">
        <w:rPr>
          <w:rFonts w:ascii="Verdana" w:eastAsia="Times New Roman" w:hAnsi="Verdana" w:cs="Times New Roman"/>
          <w:color w:val="333333"/>
          <w:sz w:val="18"/>
          <w:szCs w:val="18"/>
          <w:lang w:eastAsia="ru-RU"/>
        </w:rPr>
        <w:br/>
        <w:t>7.8. При электротермообработке при температуре 50 °С арболит приобретает прочность при сжатии 50 % средней прочности по п. 3.9 через 20–24 ч прогрева и последующего выдерживания без тепловой обработки при температуре не ниже 15 °С в течение 1–2 сут.</w:t>
      </w:r>
      <w:r w:rsidRPr="00A4614F">
        <w:rPr>
          <w:rFonts w:ascii="Verdana" w:eastAsia="Times New Roman" w:hAnsi="Verdana" w:cs="Times New Roman"/>
          <w:color w:val="333333"/>
          <w:sz w:val="18"/>
          <w:szCs w:val="18"/>
          <w:lang w:eastAsia="ru-RU"/>
        </w:rPr>
        <w:br/>
        <w:t>7.9. После приобретения арболитом прочности при сжатии, равной 50 % средней прочности по п. 3.9, но не менее 0,5 МПа, конструкции распалубливаются и выдерживаются в цехе при температуре не ниже 15 °С в течение 5–6 сут, после чего они хранятся на крытом складе готовой продукции.</w:t>
      </w:r>
      <w:r w:rsidRPr="00A4614F">
        <w:rPr>
          <w:rFonts w:ascii="Verdana" w:eastAsia="Times New Roman" w:hAnsi="Verdana" w:cs="Times New Roman"/>
          <w:color w:val="333333"/>
          <w:sz w:val="18"/>
          <w:szCs w:val="18"/>
          <w:lang w:eastAsia="ru-RU"/>
        </w:rPr>
        <w:br/>
        <w:t>В зимних условиях конструкции из арболита после распалубки хранят в закрытом помещении с температурой не ниже 15 °С до приобретения средней прочности арболита на сжатие, соответствующей его классу.</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8. Распалубка, доводка, хранение и транспортировка </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lang w:eastAsia="ru-RU"/>
        </w:rPr>
        <w:t>конструкций из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8.1. Распалубка конструкций из арболита должна производиться при разнице температур окружающей среды и открытой поверхности конструкции не более 30 °С.</w:t>
      </w:r>
      <w:r w:rsidRPr="00A4614F">
        <w:rPr>
          <w:rFonts w:ascii="Verdana" w:eastAsia="Times New Roman" w:hAnsi="Verdana" w:cs="Times New Roman"/>
          <w:color w:val="333333"/>
          <w:sz w:val="18"/>
          <w:szCs w:val="18"/>
          <w:lang w:eastAsia="ru-RU"/>
        </w:rPr>
        <w:br/>
        <w:t>8.2. Крупноразмерные конструкции, не рассчитанные на работу при изгибе, после распалубки следует устанавливать в рабочее положение при помощи специальных кантователей.</w:t>
      </w:r>
      <w:r w:rsidRPr="00A4614F">
        <w:rPr>
          <w:rFonts w:ascii="Verdana" w:eastAsia="Times New Roman" w:hAnsi="Verdana" w:cs="Times New Roman"/>
          <w:color w:val="333333"/>
          <w:sz w:val="18"/>
          <w:szCs w:val="18"/>
          <w:lang w:eastAsia="ru-RU"/>
        </w:rPr>
        <w:br/>
        <w:t>8.3. Окончательную доводку и комплектацию конструкций, а также отделку лицевой поверхности их после распалубки следует производить на специализированных отделочных постах или конвейерных линиях с применением механизированного инструмента.</w:t>
      </w:r>
      <w:r w:rsidRPr="00A4614F">
        <w:rPr>
          <w:rFonts w:ascii="Verdana" w:eastAsia="Times New Roman" w:hAnsi="Verdana" w:cs="Times New Roman"/>
          <w:color w:val="333333"/>
          <w:sz w:val="18"/>
          <w:szCs w:val="18"/>
          <w:lang w:eastAsia="ru-RU"/>
        </w:rPr>
        <w:br/>
        <w:t>8.4. Внешний вид и качество отделки поверхностей конструкций из арболита должны соответствовать утвержденному эталону и отвечать требованиям ГОСТ 19222–73.</w:t>
      </w:r>
      <w:r w:rsidRPr="00A4614F">
        <w:rPr>
          <w:rFonts w:ascii="Verdana" w:eastAsia="Times New Roman" w:hAnsi="Verdana" w:cs="Times New Roman"/>
          <w:color w:val="333333"/>
          <w:sz w:val="18"/>
          <w:szCs w:val="18"/>
          <w:lang w:eastAsia="ru-RU"/>
        </w:rPr>
        <w:br/>
        <w:t>8.5. Конструкции из арболита, принятые ОТК, следует хранить и транспортировать в соответствии с требованиями ГОСТ 19222–73, ГОСТ 13015–75. а также ГОСТов и ТУ на конкретные виды конструкций.</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9. Особенности производства конструкций из арболита в зимнее время</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9.1. Для нормальной организации производства конструкций из арболита в зимнее время следует выполнять следующие мероприятия:</w:t>
      </w:r>
      <w:r w:rsidRPr="00A4614F">
        <w:rPr>
          <w:rFonts w:ascii="Verdana" w:eastAsia="Times New Roman" w:hAnsi="Verdana" w:cs="Times New Roman"/>
          <w:color w:val="333333"/>
          <w:sz w:val="18"/>
          <w:szCs w:val="18"/>
          <w:lang w:eastAsia="ru-RU"/>
        </w:rPr>
        <w:br/>
        <w:t>обеспечить запас древесных отходов в объеме, необходимом для работы в зимний период, с предварительной выдержкой их в летнее время;</w:t>
      </w:r>
      <w:r w:rsidRPr="00A4614F">
        <w:rPr>
          <w:rFonts w:ascii="Verdana" w:eastAsia="Times New Roman" w:hAnsi="Verdana" w:cs="Times New Roman"/>
          <w:color w:val="333333"/>
          <w:sz w:val="18"/>
          <w:szCs w:val="18"/>
          <w:lang w:eastAsia="ru-RU"/>
        </w:rPr>
        <w:br/>
        <w:t>подогревать органический заполнитель, песок, гравий и воду до положительной температуры;</w:t>
      </w:r>
      <w:r w:rsidRPr="00A4614F">
        <w:rPr>
          <w:rFonts w:ascii="Verdana" w:eastAsia="Times New Roman" w:hAnsi="Verdana" w:cs="Times New Roman"/>
          <w:color w:val="333333"/>
          <w:sz w:val="18"/>
          <w:szCs w:val="18"/>
          <w:lang w:eastAsia="ru-RU"/>
        </w:rPr>
        <w:br/>
        <w:t>отформованные конструкции из арболита прогревать в специальных камерах или применять электротермообработку с соблюдением установленных режимов в соответствии с п.п. 7.3–7.8;</w:t>
      </w:r>
      <w:r w:rsidRPr="00A4614F">
        <w:rPr>
          <w:rFonts w:ascii="Verdana" w:eastAsia="Times New Roman" w:hAnsi="Verdana" w:cs="Times New Roman"/>
          <w:color w:val="333333"/>
          <w:sz w:val="18"/>
          <w:szCs w:val="18"/>
          <w:lang w:eastAsia="ru-RU"/>
        </w:rPr>
        <w:br/>
        <w:t>применять быстротвердеющие цементы марок 500 и выше (БТЦ и ОБТЦ);</w:t>
      </w:r>
      <w:r w:rsidRPr="00A4614F">
        <w:rPr>
          <w:rFonts w:ascii="Verdana" w:eastAsia="Times New Roman" w:hAnsi="Verdana" w:cs="Times New Roman"/>
          <w:color w:val="333333"/>
          <w:sz w:val="18"/>
          <w:szCs w:val="18"/>
          <w:lang w:eastAsia="ru-RU"/>
        </w:rPr>
        <w:br/>
        <w:t>подогревать окружающий воздух в отделениях твердения и выдерживать конструкции из арболита при температуре не менее (20±2) °С.</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10. Контроль качества исходных материалов, арболита и готовых конструкций</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 xml:space="preserve">10.1. Соответствие показателей качества исходных материалов, арболита и готовых конструкций из него, а также параметров технологических режимов производства нормируемым показателям, </w:t>
      </w:r>
      <w:r w:rsidRPr="00A4614F">
        <w:rPr>
          <w:rFonts w:ascii="Verdana" w:eastAsia="Times New Roman" w:hAnsi="Verdana" w:cs="Times New Roman"/>
          <w:color w:val="333333"/>
          <w:sz w:val="18"/>
          <w:szCs w:val="18"/>
          <w:lang w:eastAsia="ru-RU"/>
        </w:rPr>
        <w:lastRenderedPageBreak/>
        <w:t>указанным в стандартах или технических условиях на конструкции конкретных видов, и требованиям технологической документации устанавливают по данным входного, операционного и приемочного контроля в соответствии с требованиями ГОСТ 13015.1–81.</w:t>
      </w:r>
      <w:r w:rsidRPr="00A4614F">
        <w:rPr>
          <w:rFonts w:ascii="Verdana" w:eastAsia="Times New Roman" w:hAnsi="Verdana" w:cs="Times New Roman"/>
          <w:color w:val="333333"/>
          <w:sz w:val="18"/>
          <w:szCs w:val="18"/>
          <w:lang w:eastAsia="ru-RU"/>
        </w:rPr>
        <w:br/>
        <w:t>10.2. Номенклатура показателей качества конструкций и параметры технологических режимов, подвергаемые входному, операционному и приемочному контролю, принимаются по ГОСТ 13015.1–81.</w:t>
      </w:r>
      <w:r w:rsidRPr="00A4614F">
        <w:rPr>
          <w:rFonts w:ascii="Verdana" w:eastAsia="Times New Roman" w:hAnsi="Verdana" w:cs="Times New Roman"/>
          <w:color w:val="333333"/>
          <w:sz w:val="18"/>
          <w:szCs w:val="18"/>
          <w:lang w:eastAsia="ru-RU"/>
        </w:rPr>
        <w:br/>
        <w:t>10.3. Качество материалов, применяемых для приготовления изделий из арболита, следует определять:</w:t>
      </w:r>
      <w:r w:rsidRPr="00A4614F">
        <w:rPr>
          <w:rFonts w:ascii="Verdana" w:eastAsia="Times New Roman" w:hAnsi="Verdana" w:cs="Times New Roman"/>
          <w:color w:val="333333"/>
          <w:sz w:val="18"/>
          <w:szCs w:val="18"/>
          <w:lang w:eastAsia="ru-RU"/>
        </w:rPr>
        <w:br/>
        <w:t>цемента – по ГОСТ 310.1–76 – ГОСТ 310.4–81;</w:t>
      </w:r>
      <w:r w:rsidRPr="00A4614F">
        <w:rPr>
          <w:rFonts w:ascii="Verdana" w:eastAsia="Times New Roman" w:hAnsi="Verdana" w:cs="Times New Roman"/>
          <w:color w:val="333333"/>
          <w:sz w:val="18"/>
          <w:szCs w:val="18"/>
          <w:lang w:eastAsia="ru-RU"/>
        </w:rPr>
        <w:br/>
        <w:t>древесной дробленки – по ГОСТ 19222–73 с учетом дополнений, изложенных в настоящей Инструкции (прил. 1);</w:t>
      </w:r>
      <w:r w:rsidRPr="00A4614F">
        <w:rPr>
          <w:rFonts w:ascii="Verdana" w:eastAsia="Times New Roman" w:hAnsi="Verdana" w:cs="Times New Roman"/>
          <w:color w:val="333333"/>
          <w:sz w:val="18"/>
          <w:szCs w:val="18"/>
          <w:lang w:eastAsia="ru-RU"/>
        </w:rPr>
        <w:br/>
        <w:t>плотных крупных заполнителей – по ГОСТ 8269–76;</w:t>
      </w:r>
      <w:r w:rsidRPr="00A4614F">
        <w:rPr>
          <w:rFonts w:ascii="Verdana" w:eastAsia="Times New Roman" w:hAnsi="Verdana" w:cs="Times New Roman"/>
          <w:color w:val="333333"/>
          <w:sz w:val="18"/>
          <w:szCs w:val="18"/>
          <w:lang w:eastAsia="ru-RU"/>
        </w:rPr>
        <w:br/>
        <w:t>плотных песков – по ГОСТ 8735–75;</w:t>
      </w:r>
      <w:r w:rsidRPr="00A4614F">
        <w:rPr>
          <w:rFonts w:ascii="Verdana" w:eastAsia="Times New Roman" w:hAnsi="Verdana" w:cs="Times New Roman"/>
          <w:color w:val="333333"/>
          <w:sz w:val="18"/>
          <w:szCs w:val="18"/>
          <w:lang w:eastAsia="ru-RU"/>
        </w:rPr>
        <w:br/>
        <w:t>пористых заполнителей – по ГОСТ 9758–77;</w:t>
      </w:r>
      <w:r w:rsidRPr="00A4614F">
        <w:rPr>
          <w:rFonts w:ascii="Verdana" w:eastAsia="Times New Roman" w:hAnsi="Verdana" w:cs="Times New Roman"/>
          <w:color w:val="333333"/>
          <w:sz w:val="18"/>
          <w:szCs w:val="18"/>
          <w:lang w:eastAsia="ru-RU"/>
        </w:rPr>
        <w:br/>
        <w:t>арматуры и закладных изделий – по ГОСТ 10922–75;</w:t>
      </w:r>
      <w:r w:rsidRPr="00A4614F">
        <w:rPr>
          <w:rFonts w:ascii="Verdana" w:eastAsia="Times New Roman" w:hAnsi="Verdana" w:cs="Times New Roman"/>
          <w:color w:val="333333"/>
          <w:sz w:val="18"/>
          <w:szCs w:val="18"/>
          <w:lang w:eastAsia="ru-RU"/>
        </w:rPr>
        <w:br/>
        <w:t>химических добавок – по стандартам или техническим условиям на данный вид химической добавки.</w:t>
      </w:r>
      <w:r w:rsidRPr="00A4614F">
        <w:rPr>
          <w:rFonts w:ascii="Verdana" w:eastAsia="Times New Roman" w:hAnsi="Verdana" w:cs="Times New Roman"/>
          <w:color w:val="333333"/>
          <w:sz w:val="18"/>
          <w:szCs w:val="18"/>
          <w:lang w:eastAsia="ru-RU"/>
        </w:rPr>
        <w:br/>
        <w:t>10.4. Контроль приготовления арболитовой смеси и проверку ее качества следует производить путем отбора проб из арболита каждого класса не реже двух раз в  смену и испытания их по ГОСТ 10181.0–81 – ГОСТ 10181.4–81 и ГОСТ 10180–78.</w:t>
      </w:r>
      <w:r w:rsidRPr="00A4614F">
        <w:rPr>
          <w:rFonts w:ascii="Verdana" w:eastAsia="Times New Roman" w:hAnsi="Verdana" w:cs="Times New Roman"/>
          <w:color w:val="333333"/>
          <w:sz w:val="18"/>
          <w:szCs w:val="18"/>
          <w:lang w:eastAsia="ru-RU"/>
        </w:rPr>
        <w:br/>
        <w:t>10.5. Для контроля прочности при сжатии и плотности арболита, а также контроля назначенного технологического режима ежесменно для каждого класса арболита изготовляют по режиму, принятому на производстве, три серии образцов, по три образца в каждой, размером 150*150*150 мм. Первую серию выдерживают в течение 28 сут в условиях по п. 4.5 настоящей Инструкции. Две серии контрольных образцов должны твердеть по одинаковому с контролируемыми конструкциями режиму до момента определения отпускной прочности (7 сут), после чего вторая серия испытывается на сжатие с обмером и взвешиванием для определения плотности и влажности по ГОСТ 12730.1–78 и ГОСТ 12730.2–78.</w:t>
      </w:r>
      <w:r w:rsidRPr="00A4614F">
        <w:rPr>
          <w:rFonts w:ascii="Verdana" w:eastAsia="Times New Roman" w:hAnsi="Verdana" w:cs="Times New Roman"/>
          <w:color w:val="333333"/>
          <w:sz w:val="18"/>
          <w:szCs w:val="18"/>
          <w:lang w:eastAsia="ru-RU"/>
        </w:rPr>
        <w:br/>
        <w:t>Последующее твердение образцов третьей серии, предназначенных для определения прочности арболита в проектном возрасте, должно происходить в условиях по п. 4.5 настоящей Инструкции. Через 28 сут на образцах первой и третьей серии определяют среднюю прочность при сжатии (единичное значение прочности) арболита, учитываемые при статистической обработке по п. 1.7 ГОСТ 18105.0–80, а плотность – по ГОСТ 12730.1–78.</w:t>
      </w:r>
      <w:r w:rsidRPr="00A4614F">
        <w:rPr>
          <w:rFonts w:ascii="Verdana" w:eastAsia="Times New Roman" w:hAnsi="Verdana" w:cs="Times New Roman"/>
          <w:color w:val="333333"/>
          <w:sz w:val="18"/>
          <w:szCs w:val="18"/>
          <w:lang w:eastAsia="ru-RU"/>
        </w:rPr>
        <w:br/>
        <w:t>Сравнение средней прочности арболита на сжатие, определенной на образцах, твердевших в стандартных условиях (п. 4.5), со средней прочностью арболита, определенной на образцах, полученных в условиях твердения и формования по принятой технологии (факти</w:t>
      </w:r>
      <w:r w:rsidRPr="00A4614F">
        <w:rPr>
          <w:rFonts w:ascii="Verdana" w:eastAsia="Times New Roman" w:hAnsi="Verdana" w:cs="Times New Roman"/>
          <w:color w:val="333333"/>
          <w:sz w:val="18"/>
          <w:szCs w:val="18"/>
          <w:lang w:eastAsia="ru-RU"/>
        </w:rPr>
        <w:softHyphen/>
        <w:t>чес</w:t>
      </w:r>
      <w:r w:rsidRPr="00A4614F">
        <w:rPr>
          <w:rFonts w:ascii="Verdana" w:eastAsia="Times New Roman" w:hAnsi="Verdana" w:cs="Times New Roman"/>
          <w:color w:val="333333"/>
          <w:sz w:val="18"/>
          <w:szCs w:val="18"/>
          <w:lang w:eastAsia="ru-RU"/>
        </w:rPr>
        <w:softHyphen/>
        <w:t>кая прочность), а также с заданной в проекте прочностью и полученные при этом расходы цемента характеризуют качество арболита и технико-экономическую эффективность технологии производства работ.</w:t>
      </w:r>
      <w:r w:rsidRPr="00A4614F">
        <w:rPr>
          <w:rFonts w:ascii="Verdana" w:eastAsia="Times New Roman" w:hAnsi="Verdana" w:cs="Times New Roman"/>
          <w:color w:val="333333"/>
          <w:sz w:val="18"/>
          <w:szCs w:val="18"/>
          <w:lang w:eastAsia="ru-RU"/>
        </w:rPr>
        <w:br/>
        <w:t>Для уточнения распалубочной прочности арболита следует изготавливать и испытывать образцы в возрасте 1–3 сут.</w:t>
      </w:r>
      <w:r w:rsidRPr="00A4614F">
        <w:rPr>
          <w:rFonts w:ascii="Verdana" w:eastAsia="Times New Roman" w:hAnsi="Verdana" w:cs="Times New Roman"/>
          <w:color w:val="333333"/>
          <w:sz w:val="18"/>
          <w:szCs w:val="18"/>
          <w:lang w:eastAsia="ru-RU"/>
        </w:rPr>
        <w:br/>
        <w:t>10.6. Средняя фактическая прочность (класс) и плотность арболита признается удовлетворяющей проектным требованиям, если прочность его не ниже требуемой, а плотность испытанных образцов не превышает проектное значение более чем на 5 %.</w:t>
      </w:r>
      <w:r w:rsidRPr="00A4614F">
        <w:rPr>
          <w:rFonts w:ascii="Verdana" w:eastAsia="Times New Roman" w:hAnsi="Verdana" w:cs="Times New Roman"/>
          <w:color w:val="333333"/>
          <w:sz w:val="18"/>
          <w:szCs w:val="18"/>
          <w:lang w:eastAsia="ru-RU"/>
        </w:rPr>
        <w:br/>
        <w:t>10.7. Отпускную прочность при сжатии бетона (раствора) отделочных слоев проверяют на образцах 7*7*7 см или 10*10*10 см в соответствии с ГОСТ 10180–78. Образцы для проверки класса бетона (раствора) отделочных слоев изготовляют один раз в сутки.</w:t>
      </w:r>
      <w:r w:rsidRPr="00A4614F">
        <w:rPr>
          <w:rFonts w:ascii="Verdana" w:eastAsia="Times New Roman" w:hAnsi="Verdana" w:cs="Times New Roman"/>
          <w:color w:val="333333"/>
          <w:sz w:val="18"/>
          <w:szCs w:val="18"/>
          <w:lang w:eastAsia="ru-RU"/>
        </w:rPr>
        <w:br/>
        <w:t>10.8. Влажность арболита в конструкциях проверяют не менее одного раза в месяц по ГОСТ 19222–73.</w:t>
      </w:r>
      <w:r w:rsidRPr="00A4614F">
        <w:rPr>
          <w:rFonts w:ascii="Verdana" w:eastAsia="Times New Roman" w:hAnsi="Verdana" w:cs="Times New Roman"/>
          <w:color w:val="333333"/>
          <w:sz w:val="18"/>
          <w:szCs w:val="18"/>
          <w:lang w:eastAsia="ru-RU"/>
        </w:rPr>
        <w:br/>
        <w:t>10.9. Плотность арболита в конструкциях контролируют путем взвешивания конструкций динамометром с обязательной проверкой фактической толщины отдельных слов. Плотность арболита в конструкциях целесообразно проверять на конструкциях, в которых производится контроль отпускной влажности арболита.</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10.10. Морозостойкость арболита следует определять по ГОСТ 7025–78, а для тяжелого бетона отделочных слоев по ГОСТ 10060–76.</w:t>
      </w:r>
      <w:r w:rsidRPr="00A4614F">
        <w:rPr>
          <w:rFonts w:ascii="Verdana" w:eastAsia="Times New Roman" w:hAnsi="Verdana" w:cs="Times New Roman"/>
          <w:color w:val="333333"/>
          <w:sz w:val="18"/>
          <w:szCs w:val="18"/>
          <w:lang w:eastAsia="ru-RU"/>
        </w:rPr>
        <w:br/>
        <w:t>Морозостойкость арболита следует определять перед началом производства конструкций, а затем через каждые 3 мес или при изменении технологии изготовления.</w:t>
      </w:r>
      <w:r w:rsidRPr="00A4614F">
        <w:rPr>
          <w:rFonts w:ascii="Verdana" w:eastAsia="Times New Roman" w:hAnsi="Verdana" w:cs="Times New Roman"/>
          <w:color w:val="333333"/>
          <w:sz w:val="18"/>
          <w:szCs w:val="18"/>
          <w:lang w:eastAsia="ru-RU"/>
        </w:rPr>
        <w:br/>
        <w:t>10.11. До начала производства конструкций, а также в сроки, указанные в стандартах и технических условиях на конкретные виды конструкций, следует проверять следующие показатели арболита:</w:t>
      </w:r>
      <w:r w:rsidRPr="00A4614F">
        <w:rPr>
          <w:rFonts w:ascii="Verdana" w:eastAsia="Times New Roman" w:hAnsi="Verdana" w:cs="Times New Roman"/>
          <w:color w:val="333333"/>
          <w:sz w:val="18"/>
          <w:szCs w:val="18"/>
          <w:lang w:eastAsia="ru-RU"/>
        </w:rPr>
        <w:br/>
        <w:t>водопоглощение – по ГОСТ 12730.3–78;</w:t>
      </w:r>
      <w:r w:rsidRPr="00A4614F">
        <w:rPr>
          <w:rFonts w:ascii="Verdana" w:eastAsia="Times New Roman" w:hAnsi="Verdana" w:cs="Times New Roman"/>
          <w:color w:val="333333"/>
          <w:sz w:val="18"/>
          <w:szCs w:val="18"/>
          <w:lang w:eastAsia="ru-RU"/>
        </w:rPr>
        <w:br/>
        <w:t>коэффициент теплопроводности – по ГОСТ 7076–78.</w:t>
      </w:r>
      <w:r w:rsidRPr="00A4614F">
        <w:rPr>
          <w:rFonts w:ascii="Verdana" w:eastAsia="Times New Roman" w:hAnsi="Verdana" w:cs="Times New Roman"/>
          <w:color w:val="333333"/>
          <w:sz w:val="18"/>
          <w:szCs w:val="18"/>
          <w:lang w:eastAsia="ru-RU"/>
        </w:rPr>
        <w:br/>
        <w:t>10.12. Предприятие-изготовитель должно отпускать потребителю конструкции, принятые ОТК. При этом потребителю должен выдаваться паспорт, подписанный ОТК и руководителем предприятия-поставщика, или заверенная копия паспорта той партии, к которой принадлежат поставляемые потребителю конструкции.</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Приложение 1</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Методы испытаний древесной дробленки, арболитовой смеси и затвердевшего арболита</w:t>
      </w:r>
      <w:r w:rsidRPr="00A4614F">
        <w:rPr>
          <w:rFonts w:ascii="Verdana" w:eastAsia="Times New Roman" w:hAnsi="Verdana" w:cs="Times New Roman"/>
          <w:color w:val="333333"/>
          <w:sz w:val="18"/>
          <w:szCs w:val="18"/>
          <w:lang w:eastAsia="ru-RU"/>
        </w:rPr>
        <w:br/>
        <w:t>1. Методика определения показателя пригодности дробленки</w:t>
      </w:r>
      <w:r w:rsidRPr="00A4614F">
        <w:rPr>
          <w:rFonts w:ascii="Verdana" w:eastAsia="Times New Roman" w:hAnsi="Verdana" w:cs="Times New Roman"/>
          <w:color w:val="333333"/>
          <w:sz w:val="18"/>
          <w:szCs w:val="18"/>
          <w:lang w:eastAsia="ru-RU"/>
        </w:rPr>
        <w:br/>
        <w:t>Показатель пригодности дробленки определяется путем ее испытания в арболите.</w:t>
      </w:r>
      <w:r w:rsidRPr="00A4614F">
        <w:rPr>
          <w:rFonts w:ascii="Verdana" w:eastAsia="Times New Roman" w:hAnsi="Verdana" w:cs="Times New Roman"/>
          <w:color w:val="333333"/>
          <w:sz w:val="18"/>
          <w:szCs w:val="18"/>
          <w:lang w:eastAsia="ru-RU"/>
        </w:rPr>
        <w:br/>
        <w:t>Для приготовления арболитовой смеси применяют портландцемент марок 400–500 по ГОСТ 10178–76, испытываемую дробленку в сухом состоянии и разделенную на фракции 0–5, 5–10 и 10–20 мм, хлористый кальций по ГОСТ 450–77 и воду по ГОСТ 23732–79.</w:t>
      </w:r>
      <w:r w:rsidRPr="00A4614F">
        <w:rPr>
          <w:rFonts w:ascii="Verdana" w:eastAsia="Times New Roman" w:hAnsi="Verdana" w:cs="Times New Roman"/>
          <w:color w:val="333333"/>
          <w:sz w:val="18"/>
          <w:szCs w:val="18"/>
          <w:lang w:eastAsia="ru-RU"/>
        </w:rPr>
        <w:br/>
        <w:t>В случае получения отрицательного результата хлористый кальций должен быть заменен комплексной химической добавкой, например, смесь сернокислого железа, гидрата окиси кальция и хлористого кальция в соотношении от 1 : 8 : 1 до 2 : 10 : 2 (по массе) в количестве 10–12 % массы цемента.</w:t>
      </w:r>
      <w:r w:rsidRPr="00A4614F">
        <w:rPr>
          <w:rFonts w:ascii="Verdana" w:eastAsia="Times New Roman" w:hAnsi="Verdana" w:cs="Times New Roman"/>
          <w:color w:val="333333"/>
          <w:sz w:val="18"/>
          <w:szCs w:val="18"/>
          <w:lang w:eastAsia="ru-RU"/>
        </w:rPr>
        <w:br/>
        <w:t>Для испытания изготовляют три замеса арболитовой смеси, каждый объемом около 12 л в уплотненном состоянии. Соотношение расхода цемента, дробленки и хлористого кальция указаны в табл. 9.</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9</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6"/>
        <w:gridCol w:w="1184"/>
        <w:gridCol w:w="1184"/>
        <w:gridCol w:w="1184"/>
        <w:gridCol w:w="1184"/>
        <w:gridCol w:w="846"/>
      </w:tblGrid>
      <w:tr w:rsidR="00A4614F" w:rsidRPr="00A4614F" w:rsidTr="00A4614F">
        <w:trPr>
          <w:tblCellSpacing w:w="22" w:type="dxa"/>
          <w:jc w:val="center"/>
        </w:trPr>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5310" w:type="dxa"/>
            <w:gridSpan w:val="5"/>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Расход</w:t>
            </w:r>
          </w:p>
        </w:tc>
      </w:tr>
      <w:tr w:rsidR="00A4614F" w:rsidRPr="00A4614F" w:rsidTr="00A4614F">
        <w:trPr>
          <w:tblCellSpacing w:w="22" w:type="dxa"/>
          <w:jc w:val="center"/>
        </w:trPr>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замеса</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цемента, кг</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хлористого кальция,</w:t>
            </w:r>
          </w:p>
        </w:tc>
        <w:tc>
          <w:tcPr>
            <w:tcW w:w="3045" w:type="dxa"/>
            <w:gridSpan w:val="3"/>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дробленки в сухом состоянии, при</w:t>
            </w:r>
            <w:r w:rsidRPr="00A4614F">
              <w:rPr>
                <w:rFonts w:ascii="Times New Roman" w:eastAsia="Times New Roman" w:hAnsi="Times New Roman" w:cs="Times New Roman"/>
                <w:sz w:val="18"/>
                <w:szCs w:val="18"/>
                <w:lang w:eastAsia="ru-RU"/>
              </w:rPr>
              <w:br/>
              <w:t>фракции, мм</w:t>
            </w:r>
          </w:p>
        </w:tc>
      </w:tr>
      <w:tr w:rsidR="00A4614F" w:rsidRPr="00A4614F" w:rsidTr="00A4614F">
        <w:trPr>
          <w:tblCellSpacing w:w="22" w:type="dxa"/>
          <w:jc w:val="center"/>
        </w:trPr>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кг</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0–5</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5–10</w:t>
            </w:r>
          </w:p>
        </w:tc>
        <w:tc>
          <w:tcPr>
            <w:tcW w:w="7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10–20</w:t>
            </w:r>
          </w:p>
        </w:tc>
      </w:tr>
      <w:tr w:rsidR="00A4614F" w:rsidRPr="00A4614F" w:rsidTr="00A4614F">
        <w:trPr>
          <w:tblCellSpacing w:w="22" w:type="dxa"/>
          <w:jc w:val="center"/>
        </w:trPr>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w:t>
            </w:r>
            <w:r w:rsidRPr="00A4614F">
              <w:rPr>
                <w:rFonts w:ascii="Times New Roman" w:eastAsia="Times New Roman" w:hAnsi="Times New Roman" w:cs="Times New Roman"/>
                <w:sz w:val="18"/>
                <w:szCs w:val="18"/>
                <w:lang w:eastAsia="ru-RU"/>
              </w:rPr>
              <w:br/>
              <w:t>2</w:t>
            </w:r>
            <w:r w:rsidRPr="00A4614F">
              <w:rPr>
                <w:rFonts w:ascii="Times New Roman" w:eastAsia="Times New Roman" w:hAnsi="Times New Roman" w:cs="Times New Roman"/>
                <w:sz w:val="18"/>
                <w:szCs w:val="18"/>
                <w:lang w:eastAsia="ru-RU"/>
              </w:rPr>
              <w:br/>
              <w:t>3</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4,25</w:t>
            </w:r>
            <w:r w:rsidRPr="00A4614F">
              <w:rPr>
                <w:rFonts w:ascii="Times New Roman" w:eastAsia="Times New Roman" w:hAnsi="Times New Roman" w:cs="Times New Roman"/>
                <w:sz w:val="18"/>
                <w:szCs w:val="18"/>
                <w:lang w:eastAsia="ru-RU"/>
              </w:rPr>
              <w:br/>
              <w:t>4,75</w:t>
            </w:r>
            <w:r w:rsidRPr="00A4614F">
              <w:rPr>
                <w:rFonts w:ascii="Times New Roman" w:eastAsia="Times New Roman" w:hAnsi="Times New Roman" w:cs="Times New Roman"/>
                <w:sz w:val="18"/>
                <w:szCs w:val="18"/>
                <w:lang w:eastAsia="ru-RU"/>
              </w:rPr>
              <w:br/>
              <w:t>5,25</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0,085</w:t>
            </w:r>
            <w:r w:rsidRPr="00A4614F">
              <w:rPr>
                <w:rFonts w:ascii="Times New Roman" w:eastAsia="Times New Roman" w:hAnsi="Times New Roman" w:cs="Times New Roman"/>
                <w:sz w:val="18"/>
                <w:szCs w:val="18"/>
                <w:lang w:eastAsia="ru-RU"/>
              </w:rPr>
              <w:br/>
              <w:t>0,095</w:t>
            </w:r>
            <w:r w:rsidRPr="00A4614F">
              <w:rPr>
                <w:rFonts w:ascii="Times New Roman" w:eastAsia="Times New Roman" w:hAnsi="Times New Roman" w:cs="Times New Roman"/>
                <w:sz w:val="18"/>
                <w:szCs w:val="18"/>
                <w:lang w:eastAsia="ru-RU"/>
              </w:rPr>
              <w:br/>
              <w:t>0,105</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8</w:t>
            </w:r>
            <w:r w:rsidRPr="00A4614F">
              <w:rPr>
                <w:rFonts w:ascii="Times New Roman" w:eastAsia="Times New Roman" w:hAnsi="Times New Roman" w:cs="Times New Roman"/>
                <w:sz w:val="18"/>
                <w:szCs w:val="18"/>
                <w:lang w:eastAsia="ru-RU"/>
              </w:rPr>
              <w:br/>
              <w:t>8</w:t>
            </w:r>
            <w:r w:rsidRPr="00A4614F">
              <w:rPr>
                <w:rFonts w:ascii="Times New Roman" w:eastAsia="Times New Roman" w:hAnsi="Times New Roman" w:cs="Times New Roman"/>
                <w:sz w:val="18"/>
                <w:szCs w:val="18"/>
                <w:lang w:eastAsia="ru-RU"/>
              </w:rPr>
              <w:br/>
              <w:t>8</w:t>
            </w:r>
          </w:p>
        </w:tc>
        <w:tc>
          <w:tcPr>
            <w:tcW w:w="11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8</w:t>
            </w:r>
            <w:r w:rsidRPr="00A4614F">
              <w:rPr>
                <w:rFonts w:ascii="Times New Roman" w:eastAsia="Times New Roman" w:hAnsi="Times New Roman" w:cs="Times New Roman"/>
                <w:sz w:val="18"/>
                <w:szCs w:val="18"/>
                <w:lang w:eastAsia="ru-RU"/>
              </w:rPr>
              <w:br/>
              <w:t>8</w:t>
            </w:r>
            <w:r w:rsidRPr="00A4614F">
              <w:rPr>
                <w:rFonts w:ascii="Times New Roman" w:eastAsia="Times New Roman" w:hAnsi="Times New Roman" w:cs="Times New Roman"/>
                <w:sz w:val="18"/>
                <w:szCs w:val="18"/>
                <w:lang w:eastAsia="ru-RU"/>
              </w:rPr>
              <w:br/>
              <w:t>8</w:t>
            </w:r>
          </w:p>
        </w:tc>
        <w:tc>
          <w:tcPr>
            <w:tcW w:w="7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9</w:t>
            </w:r>
            <w:r w:rsidRPr="00A4614F">
              <w:rPr>
                <w:rFonts w:ascii="Times New Roman" w:eastAsia="Times New Roman" w:hAnsi="Times New Roman" w:cs="Times New Roman"/>
                <w:sz w:val="18"/>
                <w:szCs w:val="18"/>
                <w:lang w:eastAsia="ru-RU"/>
              </w:rPr>
              <w:br/>
              <w:t>9</w:t>
            </w:r>
            <w:r w:rsidRPr="00A4614F">
              <w:rPr>
                <w:rFonts w:ascii="Times New Roman" w:eastAsia="Times New Roman" w:hAnsi="Times New Roman" w:cs="Times New Roman"/>
                <w:sz w:val="18"/>
                <w:szCs w:val="18"/>
                <w:lang w:eastAsia="ru-RU"/>
              </w:rPr>
              <w:br/>
              <w:t>9</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Дробленку дозируют по массе с учетом насыпной плотности отдельных фракций.</w:t>
      </w:r>
      <w:r w:rsidRPr="00A4614F">
        <w:rPr>
          <w:rFonts w:ascii="Verdana" w:eastAsia="Times New Roman" w:hAnsi="Verdana" w:cs="Times New Roman"/>
          <w:color w:val="333333"/>
          <w:sz w:val="18"/>
          <w:szCs w:val="18"/>
          <w:lang w:eastAsia="ru-RU"/>
        </w:rPr>
        <w:br/>
        <w:t>Расходы воды для затворения арболита принимается из расчета, чтобы В/Ц затворения было равно 1/1.</w:t>
      </w:r>
      <w:r w:rsidRPr="00A4614F">
        <w:rPr>
          <w:rFonts w:ascii="Verdana" w:eastAsia="Times New Roman" w:hAnsi="Verdana" w:cs="Times New Roman"/>
          <w:color w:val="333333"/>
          <w:sz w:val="18"/>
          <w:szCs w:val="18"/>
          <w:lang w:eastAsia="ru-RU"/>
        </w:rPr>
        <w:br/>
        <w:t>Арболитовую смесь приготовляют путем перемешивания вручную в течение 10 мин или в бетоносмесителе принудительного действия – в течение 5 мин и укладывают в форму кубов размером 10*10*10 см.</w:t>
      </w:r>
      <w:r w:rsidRPr="00A4614F">
        <w:rPr>
          <w:rFonts w:ascii="Verdana" w:eastAsia="Times New Roman" w:hAnsi="Verdana" w:cs="Times New Roman"/>
          <w:color w:val="333333"/>
          <w:sz w:val="18"/>
          <w:szCs w:val="18"/>
          <w:lang w:eastAsia="ru-RU"/>
        </w:rPr>
        <w:br/>
        <w:t>Формы заполняют арболитовой смесью в два слоя высотой по 5 см и уплотняют трамбованием стальной болванкой (рис. 5).</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Pr>
          <w:rFonts w:ascii="Verdana" w:eastAsia="Times New Roman" w:hAnsi="Verdana" w:cs="Times New Roman"/>
          <w:noProof/>
          <w:color w:val="333333"/>
          <w:sz w:val="18"/>
          <w:szCs w:val="18"/>
          <w:lang w:eastAsia="ru-RU"/>
        </w:rPr>
        <w:lastRenderedPageBreak/>
        <w:drawing>
          <wp:inline distT="0" distB="0" distL="0" distR="0">
            <wp:extent cx="2543175" cy="1219200"/>
            <wp:effectExtent l="0" t="0" r="0" b="0"/>
            <wp:docPr id="42" name="Рисунок 42" descr="http://www.arbolit.net/images/snip/sni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rbolit.net/images/snip/snip28.gif"/>
                    <pic:cNvPicPr>
                      <a:picLocks noChangeAspect="1" noChangeArrowheads="1"/>
                    </pic:cNvPicPr>
                  </pic:nvPicPr>
                  <pic:blipFill>
                    <a:blip r:embed="rId6"/>
                    <a:srcRect/>
                    <a:stretch>
                      <a:fillRect/>
                    </a:stretch>
                  </pic:blipFill>
                  <pic:spPr bwMode="auto">
                    <a:xfrm>
                      <a:off x="0" y="0"/>
                      <a:ext cx="2543175" cy="12192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br/>
        <w:t>Каждый слой уплотняют 15–20 нажимами с высоты 2–3 см, с тем чтобы коэффициент уплотнения арболитовой смеси находился в пределах 1,9–2. После уплотнения смеси поверхность образцов заглаживают.</w:t>
      </w:r>
      <w:r w:rsidRPr="00A4614F">
        <w:rPr>
          <w:rFonts w:ascii="Verdana" w:eastAsia="Times New Roman" w:hAnsi="Verdana" w:cs="Times New Roman"/>
          <w:color w:val="333333"/>
          <w:sz w:val="18"/>
          <w:szCs w:val="18"/>
          <w:lang w:eastAsia="ru-RU"/>
        </w:rPr>
        <w:br/>
        <w:t>Допускается при изготовлении контрольных образцов применять уплотняющие устройства, используемые для изготовления конструкций из арболита.</w:t>
      </w:r>
      <w:r w:rsidRPr="00A4614F">
        <w:rPr>
          <w:rFonts w:ascii="Verdana" w:eastAsia="Times New Roman" w:hAnsi="Verdana" w:cs="Times New Roman"/>
          <w:color w:val="333333"/>
          <w:sz w:val="18"/>
          <w:szCs w:val="18"/>
          <w:lang w:eastAsia="ru-RU"/>
        </w:rPr>
        <w:br/>
        <w:t>Из каждого замеса изготовляют шесть кубов и определяют плотность свежеуложенного арболита gсм.</w:t>
      </w:r>
      <w:r w:rsidRPr="00A4614F">
        <w:rPr>
          <w:rFonts w:ascii="Verdana" w:eastAsia="Times New Roman" w:hAnsi="Verdana" w:cs="Times New Roman"/>
          <w:color w:val="333333"/>
          <w:sz w:val="18"/>
          <w:szCs w:val="18"/>
          <w:lang w:eastAsia="ru-RU"/>
        </w:rPr>
        <w:br/>
        <w:t>Фактический расход цемента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Ц</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на 1 м3 уплотненного арболита для каждого из трех замесов вычисляют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495300" cy="314325"/>
            <wp:effectExtent l="19050" t="0" r="0" b="0"/>
            <wp:docPr id="43" name="Рисунок 43" descr="арб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рболит"/>
                    <pic:cNvPicPr>
                      <a:picLocks noChangeAspect="1" noChangeArrowheads="1"/>
                    </pic:cNvPicPr>
                  </pic:nvPicPr>
                  <pic:blipFill>
                    <a:blip r:embed="rId6"/>
                    <a:srcRect/>
                    <a:stretch>
                      <a:fillRect/>
                    </a:stretch>
                  </pic:blipFill>
                  <pic:spPr bwMode="auto">
                    <a:xfrm>
                      <a:off x="0" y="0"/>
                      <a:ext cx="495300" cy="3143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где Ц,ц – расход цемента, кг, соответственно на 1 м3 и на замес;</w:t>
      </w:r>
      <w:r w:rsidRPr="00A4614F">
        <w:rPr>
          <w:rFonts w:ascii="Verdana" w:eastAsia="Times New Roman" w:hAnsi="Verdana" w:cs="Times New Roman"/>
          <w:color w:val="333333"/>
          <w:sz w:val="18"/>
          <w:szCs w:val="18"/>
          <w:lang w:eastAsia="ru-RU"/>
        </w:rPr>
        <w:br/>
        <w:t>Yсм – плотность свежеуложенного арболита, кг/м3;</w:t>
      </w:r>
      <w:r w:rsidRPr="00A4614F">
        <w:rPr>
          <w:rFonts w:ascii="Verdana" w:eastAsia="Times New Roman" w:hAnsi="Verdana" w:cs="Times New Roman"/>
          <w:color w:val="333333"/>
          <w:sz w:val="18"/>
          <w:szCs w:val="18"/>
          <w:lang w:eastAsia="ru-RU"/>
        </w:rPr>
        <w:br/>
        <w:t>E</w:t>
      </w:r>
      <w:r w:rsidRPr="00A4614F">
        <w:rPr>
          <w:rFonts w:ascii="Verdana" w:eastAsia="Times New Roman" w:hAnsi="Verdana" w:cs="Times New Roman"/>
          <w:i/>
          <w:iCs/>
          <w:color w:val="333333"/>
          <w:sz w:val="18"/>
          <w:lang w:eastAsia="ru-RU"/>
        </w:rPr>
        <w:t>p</w:t>
      </w:r>
      <w:r w:rsidRPr="00A4614F">
        <w:rPr>
          <w:rFonts w:ascii="Verdana" w:eastAsia="Times New Roman" w:hAnsi="Verdana" w:cs="Times New Roman"/>
          <w:color w:val="333333"/>
          <w:sz w:val="18"/>
          <w:szCs w:val="18"/>
          <w:lang w:eastAsia="ru-RU"/>
        </w:rPr>
        <w:t>– расход всех компонентов на замес, включая фактически потраченную воду, кг.</w:t>
      </w:r>
      <w:r w:rsidRPr="00A4614F">
        <w:rPr>
          <w:rFonts w:ascii="Verdana" w:eastAsia="Times New Roman" w:hAnsi="Verdana" w:cs="Times New Roman"/>
          <w:color w:val="333333"/>
          <w:sz w:val="18"/>
          <w:szCs w:val="18"/>
          <w:lang w:eastAsia="ru-RU"/>
        </w:rPr>
        <w:br/>
        <w:t>Фактический расход всех остальных компонентов на 1 м3 уплотненного арболита вычисляют по ГОСТ 11051–70.</w:t>
      </w:r>
      <w:r w:rsidRPr="00A4614F">
        <w:rPr>
          <w:rFonts w:ascii="Verdana" w:eastAsia="Times New Roman" w:hAnsi="Verdana" w:cs="Times New Roman"/>
          <w:color w:val="333333"/>
          <w:sz w:val="18"/>
          <w:szCs w:val="18"/>
          <w:lang w:eastAsia="ru-RU"/>
        </w:rPr>
        <w:br/>
        <w:t>Изготовленные кубы из арболита извлекают из форм через 3 сут и переносят в камеру для стандартного твердения по ГОСТ 19222–73. Образцы из арболита на сжатие стандартного твердения испытывают в 28-дневном возрасте.</w:t>
      </w:r>
      <w:r w:rsidRPr="00A4614F">
        <w:rPr>
          <w:rFonts w:ascii="Verdana" w:eastAsia="Times New Roman" w:hAnsi="Verdana" w:cs="Times New Roman"/>
          <w:color w:val="333333"/>
          <w:sz w:val="18"/>
          <w:szCs w:val="18"/>
          <w:lang w:eastAsia="ru-RU"/>
        </w:rPr>
        <w:br/>
        <w:t>Перед испытанием на сжатие производится обмер и взвешивание образцов с определением плотности арболита Yб.</w:t>
      </w:r>
      <w:r w:rsidRPr="00A4614F">
        <w:rPr>
          <w:rFonts w:ascii="Verdana" w:eastAsia="Times New Roman" w:hAnsi="Verdana" w:cs="Times New Roman"/>
          <w:color w:val="333333"/>
          <w:sz w:val="18"/>
          <w:szCs w:val="18"/>
          <w:lang w:eastAsia="ru-RU"/>
        </w:rPr>
        <w:br/>
        <w:t>После испытания образцов из кусов арболита берется навеска 500 г, высушивается при температуре 80±5 °С до постоянной массы и определяется влажность, %, по массе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W</w:t>
      </w:r>
      <w:r w:rsidRPr="00A4614F">
        <w:rPr>
          <w:rFonts w:ascii="Verdana" w:eastAsia="Times New Roman" w:hAnsi="Verdana" w:cs="Times New Roman"/>
          <w:color w:val="333333"/>
          <w:sz w:val="18"/>
          <w:szCs w:val="18"/>
          <w:lang w:eastAsia="ru-RU"/>
        </w:rPr>
        <w:t>, после чего вычисляется плотность арболита в сухом состоянии (Yб*с)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685800" cy="295275"/>
            <wp:effectExtent l="19050" t="0" r="0" b="0"/>
            <wp:docPr id="44" name="Рисунок 44" descr="http://www.arbolit.net/images/snip/snip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rbolit.net/images/snip/snip30.gif"/>
                    <pic:cNvPicPr>
                      <a:picLocks noChangeAspect="1" noChangeArrowheads="1"/>
                    </pic:cNvPicPr>
                  </pic:nvPicPr>
                  <pic:blipFill>
                    <a:blip r:embed="rId6"/>
                    <a:srcRect/>
                    <a:stretch>
                      <a:fillRect/>
                    </a:stretch>
                  </pic:blipFill>
                  <pic:spPr bwMode="auto">
                    <a:xfrm>
                      <a:off x="0" y="0"/>
                      <a:ext cx="685800" cy="2952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По результатам испытания прочности при сжатии арболита отдельных образцов определяют среднюю прочность его в серии образцов, для чего предварительно отбраковывают аномальные значения по ГОСТ 10180–78.</w:t>
      </w:r>
      <w:r w:rsidRPr="00A4614F">
        <w:rPr>
          <w:rFonts w:ascii="Verdana" w:eastAsia="Times New Roman" w:hAnsi="Verdana" w:cs="Times New Roman"/>
          <w:color w:val="333333"/>
          <w:sz w:val="18"/>
          <w:szCs w:val="18"/>
          <w:lang w:eastAsia="ru-RU"/>
        </w:rPr>
        <w:br/>
        <w:t>Среднесерийные результаты испытаний трех серий образцов наносят на график с координатами: расход цемента, кг/м3, прочность при сжатии, МПа, и плотность Yб*с, кг/м3.</w:t>
      </w:r>
      <w:r w:rsidRPr="00A4614F">
        <w:rPr>
          <w:rFonts w:ascii="Verdana" w:eastAsia="Times New Roman" w:hAnsi="Verdana" w:cs="Times New Roman"/>
          <w:color w:val="333333"/>
          <w:sz w:val="18"/>
          <w:szCs w:val="18"/>
          <w:lang w:eastAsia="ru-RU"/>
        </w:rPr>
        <w:br/>
        <w:t>По построенным кривым, соединяющим три экспериментальные точки, определяют прочность при сжатии, МПа,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Rб</w:t>
      </w:r>
      <w:r w:rsidRPr="00A4614F">
        <w:rPr>
          <w:rFonts w:ascii="Verdana" w:eastAsia="Times New Roman" w:hAnsi="Verdana" w:cs="Times New Roman"/>
          <w:color w:val="333333"/>
          <w:sz w:val="18"/>
          <w:szCs w:val="18"/>
          <w:lang w:eastAsia="ru-RU"/>
        </w:rPr>
        <w:t>, соответствующую расходу цемента 360 кг/м3.</w:t>
      </w:r>
      <w:r w:rsidRPr="00A4614F">
        <w:rPr>
          <w:rFonts w:ascii="Verdana" w:eastAsia="Times New Roman" w:hAnsi="Verdana" w:cs="Times New Roman"/>
          <w:color w:val="333333"/>
          <w:sz w:val="18"/>
          <w:szCs w:val="18"/>
          <w:lang w:eastAsia="ru-RU"/>
        </w:rPr>
        <w:br/>
        <w:t>По результатам испытаний определяется коэффициент пригодности дробленки, равный отношению показателя активности цемента (</w:t>
      </w:r>
      <w:r w:rsidRPr="00A4614F">
        <w:rPr>
          <w:rFonts w:ascii="Verdana" w:eastAsia="Times New Roman" w:hAnsi="Verdana" w:cs="Times New Roman"/>
          <w:i/>
          <w:iCs/>
          <w:color w:val="333333"/>
          <w:sz w:val="18"/>
          <w:lang w:eastAsia="ru-RU"/>
        </w:rPr>
        <w:t>А</w:t>
      </w:r>
      <w:r w:rsidRPr="00A4614F">
        <w:rPr>
          <w:rFonts w:ascii="Verdana" w:eastAsia="Times New Roman" w:hAnsi="Verdana" w:cs="Times New Roman"/>
          <w:color w:val="333333"/>
          <w:sz w:val="18"/>
          <w:szCs w:val="18"/>
          <w:lang w:eastAsia="ru-RU"/>
        </w:rPr>
        <w:t>ц), МПа, к показателю прочности арболита.</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466725" cy="333375"/>
            <wp:effectExtent l="19050" t="0" r="9525" b="0"/>
            <wp:docPr id="45" name="Рисунок 45" descr="http://www.arbolit.net/images/snip/snip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rbolit.net/images/snip/snip31.gif"/>
                    <pic:cNvPicPr>
                      <a:picLocks noChangeAspect="1" noChangeArrowheads="1"/>
                    </pic:cNvPicPr>
                  </pic:nvPicPr>
                  <pic:blipFill>
                    <a:blip r:embed="rId6"/>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2. Определение содержания водорастворимых редуцирующих веществ в дробленке</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Метод определения водорастворимых редуцирующих веществ основан на восстановлении сахарами основной соли двухвалентной меди до ее закиси. Содержание сахара определяют по количеству перманганата калия, пошедшего на титрование двухвалентного железа, образовавшегося в результате реакции трехвалентного железа с закисью меди.</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i/>
          <w:iCs/>
          <w:color w:val="333333"/>
          <w:sz w:val="18"/>
          <w:lang w:eastAsia="ru-RU"/>
        </w:rPr>
        <w:t>Приборы и реактивы</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Сульфат меди, пентогидрат меди, CuSO4*5H2O  по ГОСТ 4165–68. Растворяют 40 г соли CuSO4*5H2O в 1 л воды.</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Сегнетова соль, C4H4O6KNa*4H2O по ГОСТ 5845–70. Гидроксид натрия по ГОСТ 4328–66. Щелочной раствор сегнетовой соли готовят следующим образом: растворяют 200 г соли в 600 мл воды, добавляют 150 г NaOH и разбавляют дистиллированной водой до 1 л.</w:t>
      </w:r>
      <w:r w:rsidRPr="00A4614F">
        <w:rPr>
          <w:rFonts w:ascii="Verdana" w:eastAsia="Times New Roman" w:hAnsi="Verdana" w:cs="Times New Roman"/>
          <w:color w:val="333333"/>
          <w:sz w:val="18"/>
          <w:szCs w:val="18"/>
          <w:lang w:eastAsia="ru-RU"/>
        </w:rPr>
        <w:br/>
        <w:t>Железоаммонийные квасцы Fe(NH4SO4)2*12Н2О по ГОСТ 4205–68.</w:t>
      </w:r>
      <w:r w:rsidRPr="00A4614F">
        <w:rPr>
          <w:rFonts w:ascii="Verdana" w:eastAsia="Times New Roman" w:hAnsi="Verdana" w:cs="Times New Roman"/>
          <w:color w:val="333333"/>
          <w:sz w:val="18"/>
          <w:szCs w:val="18"/>
          <w:lang w:eastAsia="ru-RU"/>
        </w:rPr>
        <w:br/>
        <w:t>Серная кислота (плотность 1,84 г/см3) по ГОСТ 4204–66. Раствор железоаммонийных квасцов готовят следующим образом: 100 г железоаммонийных квасцов растворяют в 700 мм дистиллированной воды, добавляют 110 мл H2SO4 и разбавляют водой до 1 л.</w:t>
      </w:r>
      <w:r w:rsidRPr="00A4614F">
        <w:rPr>
          <w:rFonts w:ascii="Verdana" w:eastAsia="Times New Roman" w:hAnsi="Verdana" w:cs="Times New Roman"/>
          <w:color w:val="333333"/>
          <w:sz w:val="18"/>
          <w:szCs w:val="18"/>
          <w:lang w:eastAsia="ru-RU"/>
        </w:rPr>
        <w:br/>
        <w:t>Перманганат калия по ГОСТ 4527–65; 0,1 и титрованный раствор.</w:t>
      </w:r>
      <w:r w:rsidRPr="00A4614F">
        <w:rPr>
          <w:rFonts w:ascii="Verdana" w:eastAsia="Times New Roman" w:hAnsi="Verdana" w:cs="Times New Roman"/>
          <w:color w:val="333333"/>
          <w:sz w:val="18"/>
          <w:szCs w:val="18"/>
          <w:lang w:eastAsia="ru-RU"/>
        </w:rPr>
        <w:br/>
        <w:t>Асбест волокнистый. Предварительно асбест кипятят в дистиллированной воде в течение 1 ч, отфильтровывают и высушивают при 105 °С.</w:t>
      </w:r>
      <w:r w:rsidRPr="00A4614F">
        <w:rPr>
          <w:rFonts w:ascii="Verdana" w:eastAsia="Times New Roman" w:hAnsi="Verdana" w:cs="Times New Roman"/>
          <w:color w:val="333333"/>
          <w:sz w:val="18"/>
          <w:szCs w:val="18"/>
          <w:lang w:eastAsia="ru-RU"/>
        </w:rPr>
        <w:br/>
        <w:t>Сушильный шкаф</w:t>
      </w:r>
      <w:r w:rsidRPr="00A4614F">
        <w:rPr>
          <w:rFonts w:ascii="Verdana" w:eastAsia="Times New Roman" w:hAnsi="Verdana" w:cs="Times New Roman"/>
          <w:color w:val="333333"/>
          <w:sz w:val="18"/>
          <w:szCs w:val="18"/>
          <w:lang w:eastAsia="ru-RU"/>
        </w:rPr>
        <w:br/>
        <w:t>Воронка Шотта с фильтром № 2</w:t>
      </w:r>
      <w:r w:rsidRPr="00A4614F">
        <w:rPr>
          <w:rFonts w:ascii="Verdana" w:eastAsia="Times New Roman" w:hAnsi="Verdana" w:cs="Times New Roman"/>
          <w:color w:val="333333"/>
          <w:sz w:val="18"/>
          <w:szCs w:val="18"/>
          <w:lang w:eastAsia="ru-RU"/>
        </w:rPr>
        <w:br/>
        <w:t>Водоструйный насос</w:t>
      </w:r>
      <w:r w:rsidRPr="00A4614F">
        <w:rPr>
          <w:rFonts w:ascii="Verdana" w:eastAsia="Times New Roman" w:hAnsi="Verdana" w:cs="Times New Roman"/>
          <w:color w:val="333333"/>
          <w:sz w:val="18"/>
          <w:szCs w:val="18"/>
          <w:lang w:eastAsia="ru-RU"/>
        </w:rPr>
        <w:br/>
        <w:t>Колбы Буназена</w:t>
      </w:r>
      <w:r w:rsidRPr="00A4614F">
        <w:rPr>
          <w:rFonts w:ascii="Verdana" w:eastAsia="Times New Roman" w:hAnsi="Verdana" w:cs="Times New Roman"/>
          <w:color w:val="333333"/>
          <w:sz w:val="18"/>
          <w:szCs w:val="18"/>
          <w:lang w:eastAsia="ru-RU"/>
        </w:rPr>
        <w:br/>
        <w:t>Песочные часы.</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i/>
          <w:iCs/>
          <w:color w:val="333333"/>
          <w:sz w:val="18"/>
          <w:lang w:eastAsia="ru-RU"/>
        </w:rPr>
        <w:t>Проведение анализа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Для определения содержания водорастворимых редуцирующих веществ в дробленке приготовляют водную вытяжку.</w:t>
      </w:r>
      <w:r w:rsidRPr="00A4614F">
        <w:rPr>
          <w:rFonts w:ascii="Verdana" w:eastAsia="Times New Roman" w:hAnsi="Verdana" w:cs="Times New Roman"/>
          <w:color w:val="333333"/>
          <w:sz w:val="18"/>
          <w:szCs w:val="18"/>
          <w:lang w:eastAsia="ru-RU"/>
        </w:rPr>
        <w:br/>
        <w:t>Поступившую на испытание дробленку измельчают до размеров опилок (0,2–2 мм), хорошо перемешивают, подсушивают до воздушно-сухого состояния и хранят в плотно закрытой склянке. Перед анализом определяют влажность пробы и все расчеты в дальнейшем ведут на сухую навеску (высушенную при 85 °С).</w:t>
      </w:r>
      <w:r w:rsidRPr="00A4614F">
        <w:rPr>
          <w:rFonts w:ascii="Verdana" w:eastAsia="Times New Roman" w:hAnsi="Verdana" w:cs="Times New Roman"/>
          <w:color w:val="333333"/>
          <w:sz w:val="18"/>
          <w:szCs w:val="18"/>
          <w:lang w:eastAsia="ru-RU"/>
        </w:rPr>
        <w:br/>
        <w:t>Для приготовления вытяжки берут 2 г пробы (дробленки), взвешивают ее с точностью 0,0002 г, помещают в коническую колбу емкостью 250 мм и приливают 10 мл дистиллированной воды. Колбу закрывают пробкой и ставят в термостат при 25 °С.</w:t>
      </w:r>
      <w:r w:rsidRPr="00A4614F">
        <w:rPr>
          <w:rFonts w:ascii="Verdana" w:eastAsia="Times New Roman" w:hAnsi="Verdana" w:cs="Times New Roman"/>
          <w:color w:val="333333"/>
          <w:sz w:val="18"/>
          <w:szCs w:val="18"/>
          <w:lang w:eastAsia="ru-RU"/>
        </w:rPr>
        <w:br/>
        <w:t>Экстрагирование проводят в течение 48 ч, периодически перемешивая содержимое колбы. Затем вытяжку отфильтровывают. В коническую колбу емкостью 150 мм вливают 20 мл раствора сульфата меди и 20 мл щелочного раствора сегнетовой соли, перемешивают и добавляют в нее 20 мл водной вытяжки из дробленки, снова перемешивают и нагревают до кипения. С момента появления первого пузырька раствор кипятят 3 мин (по песочным часам) и фильтруют в колбу Буназена через воронку Шотта с фильтром № 2, на который предварительно помещают небольшое количество асбеста. Осадок на асбесте промывают 100-150 мл горячей воды (необходимо осадок все время держать под водой, так как CuO2 на воздухе окисляется). Затем фильтр с осадком, покрытым водой, быстро переставляют на чистую колбу Буназена. Осадок обрабатывают 20 мл раствора железоаммонийных квасцов. После растворения осадка подключают водоструйный насос и асбест промывают холодной водой до нейтральной реакции промывных вод (проба по лакмусовой бумажке).</w:t>
      </w:r>
      <w:r w:rsidRPr="00A4614F">
        <w:rPr>
          <w:rFonts w:ascii="Verdana" w:eastAsia="Times New Roman" w:hAnsi="Verdana" w:cs="Times New Roman"/>
          <w:color w:val="333333"/>
          <w:sz w:val="18"/>
          <w:szCs w:val="18"/>
          <w:lang w:eastAsia="ru-RU"/>
        </w:rPr>
        <w:br/>
        <w:t>Фильтрат титруют 0,1 раствором перманганата калия до появления устойчивой розовой окраски.</w:t>
      </w:r>
      <w:r w:rsidRPr="00A4614F">
        <w:rPr>
          <w:rFonts w:ascii="Verdana" w:eastAsia="Times New Roman" w:hAnsi="Verdana" w:cs="Times New Roman"/>
          <w:color w:val="333333"/>
          <w:sz w:val="18"/>
          <w:szCs w:val="18"/>
          <w:lang w:eastAsia="ru-RU"/>
        </w:rPr>
        <w:br/>
        <w:t>Различным объемам перманганата калия, идущего на титрование, соответствуют определенные количества сахара, указанные в табл. 2. Зная объем перманганата калия, израсходованный на титрование 20 мл водной вытяжки, взятой на анализ, по табл. 2 находят содержание сахара (редуцирующих веществ).</w:t>
      </w:r>
      <w:r w:rsidRPr="00A4614F">
        <w:rPr>
          <w:rFonts w:ascii="Verdana" w:eastAsia="Times New Roman" w:hAnsi="Verdana" w:cs="Times New Roman"/>
          <w:color w:val="333333"/>
          <w:sz w:val="18"/>
          <w:szCs w:val="18"/>
          <w:lang w:eastAsia="ru-RU"/>
        </w:rPr>
        <w:br/>
        <w:t>Количество редуцирующих веществ в дробленке определяют по формуле</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drawing>
          <wp:inline distT="0" distB="0" distL="0" distR="0">
            <wp:extent cx="619125" cy="314325"/>
            <wp:effectExtent l="19050" t="0" r="9525" b="0"/>
            <wp:docPr id="46" name="Рисунок 46" descr="http://www.arbolit.net/images/snip/snip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rbolit.net/images/snip/snip32.gif"/>
                    <pic:cNvPicPr>
                      <a:picLocks noChangeAspect="1" noChangeArrowheads="1"/>
                    </pic:cNvPicPr>
                  </pic:nvPicPr>
                  <pic:blipFill>
                    <a:blip r:embed="rId6"/>
                    <a:srcRect/>
                    <a:stretch>
                      <a:fillRect/>
                    </a:stretch>
                  </pic:blipFill>
                  <pic:spPr bwMode="auto">
                    <a:xfrm>
                      <a:off x="0" y="0"/>
                      <a:ext cx="619125" cy="3143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РВ</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количество водорастворимых редуцирующих веществ в дробленке, % от сухой навески;</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b</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количество сахара, мг, соответствующее объему перманганата калия, пошедшего на титрование пробы, найденное по табл. 10, ч;</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V</w:t>
      </w:r>
      <w:r w:rsidRPr="00A4614F">
        <w:rPr>
          <w:rFonts w:ascii="Verdana" w:eastAsia="Times New Roman" w:hAnsi="Verdana" w:cs="Times New Roman"/>
          <w:color w:val="333333"/>
          <w:sz w:val="18"/>
          <w:szCs w:val="18"/>
          <w:lang w:eastAsia="ru-RU"/>
        </w:rPr>
        <w:t>o – объем воды, использованной для приготовления водной вытяжки, мл;</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V</w:t>
      </w:r>
      <w:r w:rsidRPr="00A4614F">
        <w:rPr>
          <w:rFonts w:ascii="Verdana" w:eastAsia="Times New Roman" w:hAnsi="Verdana" w:cs="Times New Roman"/>
          <w:color w:val="333333"/>
          <w:sz w:val="18"/>
          <w:szCs w:val="18"/>
          <w:lang w:eastAsia="ru-RU"/>
        </w:rPr>
        <w:t>1 – объем водной вытяжки, взятой на анализ, мл;</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i/>
          <w:iCs/>
          <w:color w:val="333333"/>
          <w:sz w:val="18"/>
          <w:lang w:eastAsia="ru-RU"/>
        </w:rPr>
        <w:t>g</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навеска сухой дробленки, г.</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10</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584"/>
        <w:gridCol w:w="584"/>
        <w:gridCol w:w="584"/>
        <w:gridCol w:w="584"/>
        <w:gridCol w:w="584"/>
        <w:gridCol w:w="584"/>
        <w:gridCol w:w="584"/>
        <w:gridCol w:w="584"/>
        <w:gridCol w:w="584"/>
        <w:gridCol w:w="606"/>
      </w:tblGrid>
      <w:tr w:rsidR="00A4614F" w:rsidRPr="00A4614F" w:rsidTr="00A4614F">
        <w:trPr>
          <w:tblCellSpacing w:w="22" w:type="dxa"/>
          <w:jc w:val="center"/>
        </w:trPr>
        <w:tc>
          <w:tcPr>
            <w:tcW w:w="0" w:type="auto"/>
            <w:gridSpan w:val="11"/>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lastRenderedPageBreak/>
              <w:t>Содержание сахара, мг, при объеме титра перманганата калия</w:t>
            </w:r>
          </w:p>
        </w:tc>
      </w:tr>
      <w:tr w:rsidR="00A4614F" w:rsidRPr="00A4614F" w:rsidTr="00A4614F">
        <w:trPr>
          <w:tblCellSpacing w:w="22" w:type="dxa"/>
          <w:jc w:val="center"/>
        </w:trPr>
        <w:tc>
          <w:tcPr>
            <w:tcW w:w="780" w:type="dxa"/>
            <w:vMerge w:val="restart"/>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цельные единицы</w:t>
            </w:r>
          </w:p>
        </w:tc>
        <w:tc>
          <w:tcPr>
            <w:tcW w:w="5460" w:type="dxa"/>
            <w:gridSpan w:val="10"/>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десятые доли единицы</w:t>
            </w:r>
          </w:p>
        </w:tc>
      </w:tr>
      <w:tr w:rsidR="00A4614F" w:rsidRPr="00A4614F" w:rsidTr="00A4614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614F" w:rsidRPr="00A4614F" w:rsidRDefault="00A4614F" w:rsidP="00A4614F">
            <w:pPr>
              <w:spacing w:after="0" w:line="240" w:lineRule="auto"/>
              <w:rPr>
                <w:rFonts w:ascii="Times New Roman" w:eastAsia="Times New Roman" w:hAnsi="Times New Roman" w:cs="Times New Roman"/>
                <w:sz w:val="18"/>
                <w:szCs w:val="18"/>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5</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6</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7</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8</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9</w:t>
            </w:r>
          </w:p>
        </w:tc>
      </w:tr>
      <w:tr w:rsidR="00A4614F" w:rsidRPr="00A4614F" w:rsidTr="00A4614F">
        <w:trPr>
          <w:tblCellSpacing w:w="22" w:type="dxa"/>
          <w:jc w:val="center"/>
        </w:trPr>
        <w:tc>
          <w:tcPr>
            <w:tcW w:w="7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0</w:t>
            </w:r>
            <w:r w:rsidRPr="00A4614F">
              <w:rPr>
                <w:rFonts w:ascii="Times New Roman" w:eastAsia="Times New Roman" w:hAnsi="Times New Roman" w:cs="Times New Roman"/>
                <w:sz w:val="18"/>
                <w:szCs w:val="18"/>
                <w:lang w:eastAsia="ru-RU"/>
              </w:rPr>
              <w:br/>
              <w:t>1</w:t>
            </w:r>
            <w:r w:rsidRPr="00A4614F">
              <w:rPr>
                <w:rFonts w:ascii="Times New Roman" w:eastAsia="Times New Roman" w:hAnsi="Times New Roman" w:cs="Times New Roman"/>
                <w:sz w:val="18"/>
                <w:szCs w:val="18"/>
                <w:lang w:eastAsia="ru-RU"/>
              </w:rPr>
              <w:br/>
              <w:t>2</w:t>
            </w:r>
            <w:r w:rsidRPr="00A4614F">
              <w:rPr>
                <w:rFonts w:ascii="Times New Roman" w:eastAsia="Times New Roman" w:hAnsi="Times New Roman" w:cs="Times New Roman"/>
                <w:sz w:val="18"/>
                <w:szCs w:val="18"/>
                <w:lang w:eastAsia="ru-RU"/>
              </w:rPr>
              <w:br/>
              <w:t>3</w:t>
            </w:r>
            <w:r w:rsidRPr="00A4614F">
              <w:rPr>
                <w:rFonts w:ascii="Times New Roman" w:eastAsia="Times New Roman" w:hAnsi="Times New Roman" w:cs="Times New Roman"/>
                <w:sz w:val="18"/>
                <w:szCs w:val="18"/>
                <w:lang w:eastAsia="ru-RU"/>
              </w:rPr>
              <w:br/>
              <w:t>4</w:t>
            </w:r>
            <w:r w:rsidRPr="00A4614F">
              <w:rPr>
                <w:rFonts w:ascii="Times New Roman" w:eastAsia="Times New Roman" w:hAnsi="Times New Roman" w:cs="Times New Roman"/>
                <w:sz w:val="18"/>
                <w:szCs w:val="18"/>
                <w:lang w:eastAsia="ru-RU"/>
              </w:rPr>
              <w:br/>
              <w:t>5</w:t>
            </w:r>
            <w:r w:rsidRPr="00A4614F">
              <w:rPr>
                <w:rFonts w:ascii="Times New Roman" w:eastAsia="Times New Roman" w:hAnsi="Times New Roman" w:cs="Times New Roman"/>
                <w:sz w:val="18"/>
                <w:szCs w:val="18"/>
                <w:lang w:eastAsia="ru-RU"/>
              </w:rPr>
              <w:br/>
              <w:t>6</w:t>
            </w:r>
            <w:r w:rsidRPr="00A4614F">
              <w:rPr>
                <w:rFonts w:ascii="Times New Roman" w:eastAsia="Times New Roman" w:hAnsi="Times New Roman" w:cs="Times New Roman"/>
                <w:sz w:val="18"/>
                <w:szCs w:val="18"/>
                <w:lang w:eastAsia="ru-RU"/>
              </w:rPr>
              <w:br/>
              <w:t>7</w:t>
            </w:r>
            <w:r w:rsidRPr="00A4614F">
              <w:rPr>
                <w:rFonts w:ascii="Times New Roman" w:eastAsia="Times New Roman" w:hAnsi="Times New Roman" w:cs="Times New Roman"/>
                <w:sz w:val="18"/>
                <w:szCs w:val="18"/>
                <w:lang w:eastAsia="ru-RU"/>
              </w:rPr>
              <w:br/>
              <w:t>8</w:t>
            </w:r>
            <w:r w:rsidRPr="00A4614F">
              <w:rPr>
                <w:rFonts w:ascii="Times New Roman" w:eastAsia="Times New Roman" w:hAnsi="Times New Roman" w:cs="Times New Roman"/>
                <w:sz w:val="18"/>
                <w:szCs w:val="18"/>
                <w:lang w:eastAsia="ru-RU"/>
              </w:rPr>
              <w:br/>
              <w:t>9</w:t>
            </w:r>
            <w:r w:rsidRPr="00A4614F">
              <w:rPr>
                <w:rFonts w:ascii="Times New Roman" w:eastAsia="Times New Roman" w:hAnsi="Times New Roman" w:cs="Times New Roman"/>
                <w:sz w:val="18"/>
                <w:szCs w:val="18"/>
                <w:lang w:eastAsia="ru-RU"/>
              </w:rPr>
              <w:br/>
              <w:t>10</w:t>
            </w:r>
            <w:r w:rsidRPr="00A4614F">
              <w:rPr>
                <w:rFonts w:ascii="Times New Roman" w:eastAsia="Times New Roman" w:hAnsi="Times New Roman" w:cs="Times New Roman"/>
                <w:sz w:val="18"/>
                <w:szCs w:val="18"/>
                <w:lang w:eastAsia="ru-RU"/>
              </w:rPr>
              <w:br/>
              <w:t>11</w:t>
            </w:r>
            <w:r w:rsidRPr="00A4614F">
              <w:rPr>
                <w:rFonts w:ascii="Times New Roman" w:eastAsia="Times New Roman" w:hAnsi="Times New Roman" w:cs="Times New Roman"/>
                <w:sz w:val="18"/>
                <w:szCs w:val="18"/>
                <w:lang w:eastAsia="ru-RU"/>
              </w:rPr>
              <w:br/>
              <w:t>12</w:t>
            </w:r>
            <w:r w:rsidRPr="00A4614F">
              <w:rPr>
                <w:rFonts w:ascii="Times New Roman" w:eastAsia="Times New Roman" w:hAnsi="Times New Roman" w:cs="Times New Roman"/>
                <w:sz w:val="18"/>
                <w:szCs w:val="18"/>
                <w:lang w:eastAsia="ru-RU"/>
              </w:rPr>
              <w:br/>
              <w:t>13</w:t>
            </w:r>
            <w:r w:rsidRPr="00A4614F">
              <w:rPr>
                <w:rFonts w:ascii="Times New Roman" w:eastAsia="Times New Roman" w:hAnsi="Times New Roman" w:cs="Times New Roman"/>
                <w:sz w:val="18"/>
                <w:szCs w:val="18"/>
                <w:lang w:eastAsia="ru-RU"/>
              </w:rPr>
              <w:br/>
              <w:t>14</w:t>
            </w:r>
            <w:r w:rsidRPr="00A4614F">
              <w:rPr>
                <w:rFonts w:ascii="Times New Roman" w:eastAsia="Times New Roman" w:hAnsi="Times New Roman" w:cs="Times New Roman"/>
                <w:sz w:val="18"/>
                <w:szCs w:val="18"/>
                <w:lang w:eastAsia="ru-RU"/>
              </w:rPr>
              <w:br/>
              <w:t>15</w:t>
            </w:r>
            <w:r w:rsidRPr="00A4614F">
              <w:rPr>
                <w:rFonts w:ascii="Times New Roman" w:eastAsia="Times New Roman" w:hAnsi="Times New Roman" w:cs="Times New Roman"/>
                <w:sz w:val="18"/>
                <w:szCs w:val="18"/>
                <w:lang w:eastAsia="ru-RU"/>
              </w:rPr>
              <w:br/>
              <w:t>16</w:t>
            </w:r>
            <w:r w:rsidRPr="00A4614F">
              <w:rPr>
                <w:rFonts w:ascii="Times New Roman" w:eastAsia="Times New Roman" w:hAnsi="Times New Roman" w:cs="Times New Roman"/>
                <w:sz w:val="18"/>
                <w:szCs w:val="18"/>
                <w:lang w:eastAsia="ru-RU"/>
              </w:rPr>
              <w:br/>
              <w:t>17</w:t>
            </w:r>
            <w:r w:rsidRPr="00A4614F">
              <w:rPr>
                <w:rFonts w:ascii="Times New Roman" w:eastAsia="Times New Roman" w:hAnsi="Times New Roman" w:cs="Times New Roman"/>
                <w:sz w:val="18"/>
                <w:szCs w:val="18"/>
                <w:lang w:eastAsia="ru-RU"/>
              </w:rPr>
              <w:br/>
              <w:t>18</w:t>
            </w:r>
            <w:r w:rsidRPr="00A4614F">
              <w:rPr>
                <w:rFonts w:ascii="Times New Roman" w:eastAsia="Times New Roman" w:hAnsi="Times New Roman" w:cs="Times New Roman"/>
                <w:sz w:val="18"/>
                <w:szCs w:val="18"/>
                <w:lang w:eastAsia="ru-RU"/>
              </w:rPr>
              <w:br/>
              <w:t>19</w:t>
            </w:r>
            <w:r w:rsidRPr="00A4614F">
              <w:rPr>
                <w:rFonts w:ascii="Times New Roman" w:eastAsia="Times New Roman" w:hAnsi="Times New Roman" w:cs="Times New Roman"/>
                <w:sz w:val="18"/>
                <w:szCs w:val="18"/>
                <w:lang w:eastAsia="ru-RU"/>
              </w:rPr>
              <w:br/>
              <w:t>20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2,93</w:t>
            </w:r>
            <w:r w:rsidRPr="00A4614F">
              <w:rPr>
                <w:rFonts w:ascii="Times New Roman" w:eastAsia="Times New Roman" w:hAnsi="Times New Roman" w:cs="Times New Roman"/>
                <w:sz w:val="18"/>
                <w:szCs w:val="18"/>
                <w:lang w:eastAsia="ru-RU"/>
              </w:rPr>
              <w:br/>
              <w:t>6,10</w:t>
            </w:r>
            <w:r w:rsidRPr="00A4614F">
              <w:rPr>
                <w:rFonts w:ascii="Times New Roman" w:eastAsia="Times New Roman" w:hAnsi="Times New Roman" w:cs="Times New Roman"/>
                <w:sz w:val="18"/>
                <w:szCs w:val="18"/>
                <w:lang w:eastAsia="ru-RU"/>
              </w:rPr>
              <w:br/>
              <w:t>9,30</w:t>
            </w:r>
            <w:r w:rsidRPr="00A4614F">
              <w:rPr>
                <w:rFonts w:ascii="Times New Roman" w:eastAsia="Times New Roman" w:hAnsi="Times New Roman" w:cs="Times New Roman"/>
                <w:sz w:val="18"/>
                <w:szCs w:val="18"/>
                <w:lang w:eastAsia="ru-RU"/>
              </w:rPr>
              <w:br/>
              <w:t>12,60</w:t>
            </w:r>
            <w:r w:rsidRPr="00A4614F">
              <w:rPr>
                <w:rFonts w:ascii="Times New Roman" w:eastAsia="Times New Roman" w:hAnsi="Times New Roman" w:cs="Times New Roman"/>
                <w:sz w:val="18"/>
                <w:szCs w:val="18"/>
                <w:lang w:eastAsia="ru-RU"/>
              </w:rPr>
              <w:br/>
              <w:t>15,80</w:t>
            </w:r>
            <w:r w:rsidRPr="00A4614F">
              <w:rPr>
                <w:rFonts w:ascii="Times New Roman" w:eastAsia="Times New Roman" w:hAnsi="Times New Roman" w:cs="Times New Roman"/>
                <w:sz w:val="18"/>
                <w:szCs w:val="18"/>
                <w:lang w:eastAsia="ru-RU"/>
              </w:rPr>
              <w:br/>
              <w:t>19,00</w:t>
            </w:r>
            <w:r w:rsidRPr="00A4614F">
              <w:rPr>
                <w:rFonts w:ascii="Times New Roman" w:eastAsia="Times New Roman" w:hAnsi="Times New Roman" w:cs="Times New Roman"/>
                <w:sz w:val="18"/>
                <w:szCs w:val="18"/>
                <w:lang w:eastAsia="ru-RU"/>
              </w:rPr>
              <w:br/>
              <w:t>22,30</w:t>
            </w:r>
            <w:r w:rsidRPr="00A4614F">
              <w:rPr>
                <w:rFonts w:ascii="Times New Roman" w:eastAsia="Times New Roman" w:hAnsi="Times New Roman" w:cs="Times New Roman"/>
                <w:sz w:val="18"/>
                <w:szCs w:val="18"/>
                <w:lang w:eastAsia="ru-RU"/>
              </w:rPr>
              <w:br/>
              <w:t>25,70</w:t>
            </w:r>
            <w:r w:rsidRPr="00A4614F">
              <w:rPr>
                <w:rFonts w:ascii="Times New Roman" w:eastAsia="Times New Roman" w:hAnsi="Times New Roman" w:cs="Times New Roman"/>
                <w:sz w:val="18"/>
                <w:szCs w:val="18"/>
                <w:lang w:eastAsia="ru-RU"/>
              </w:rPr>
              <w:br/>
              <w:t>29,10</w:t>
            </w:r>
            <w:r w:rsidRPr="00A4614F">
              <w:rPr>
                <w:rFonts w:ascii="Times New Roman" w:eastAsia="Times New Roman" w:hAnsi="Times New Roman" w:cs="Times New Roman"/>
                <w:sz w:val="18"/>
                <w:szCs w:val="18"/>
                <w:lang w:eastAsia="ru-RU"/>
              </w:rPr>
              <w:br/>
              <w:t>32,40</w:t>
            </w:r>
            <w:r w:rsidRPr="00A4614F">
              <w:rPr>
                <w:rFonts w:ascii="Times New Roman" w:eastAsia="Times New Roman" w:hAnsi="Times New Roman" w:cs="Times New Roman"/>
                <w:sz w:val="18"/>
                <w:szCs w:val="18"/>
                <w:lang w:eastAsia="ru-RU"/>
              </w:rPr>
              <w:br/>
              <w:t>35,90</w:t>
            </w:r>
            <w:r w:rsidRPr="00A4614F">
              <w:rPr>
                <w:rFonts w:ascii="Times New Roman" w:eastAsia="Times New Roman" w:hAnsi="Times New Roman" w:cs="Times New Roman"/>
                <w:sz w:val="18"/>
                <w:szCs w:val="18"/>
                <w:lang w:eastAsia="ru-RU"/>
              </w:rPr>
              <w:br/>
              <w:t>39,40</w:t>
            </w:r>
            <w:r w:rsidRPr="00A4614F">
              <w:rPr>
                <w:rFonts w:ascii="Times New Roman" w:eastAsia="Times New Roman" w:hAnsi="Times New Roman" w:cs="Times New Roman"/>
                <w:sz w:val="18"/>
                <w:szCs w:val="18"/>
                <w:lang w:eastAsia="ru-RU"/>
              </w:rPr>
              <w:br/>
              <w:t>43,00</w:t>
            </w:r>
            <w:r w:rsidRPr="00A4614F">
              <w:rPr>
                <w:rFonts w:ascii="Times New Roman" w:eastAsia="Times New Roman" w:hAnsi="Times New Roman" w:cs="Times New Roman"/>
                <w:sz w:val="18"/>
                <w:szCs w:val="18"/>
                <w:lang w:eastAsia="ru-RU"/>
              </w:rPr>
              <w:br/>
              <w:t>46,40</w:t>
            </w:r>
            <w:r w:rsidRPr="00A4614F">
              <w:rPr>
                <w:rFonts w:ascii="Times New Roman" w:eastAsia="Times New Roman" w:hAnsi="Times New Roman" w:cs="Times New Roman"/>
                <w:sz w:val="18"/>
                <w:szCs w:val="18"/>
                <w:lang w:eastAsia="ru-RU"/>
              </w:rPr>
              <w:br/>
              <w:t>50,00</w:t>
            </w:r>
            <w:r w:rsidRPr="00A4614F">
              <w:rPr>
                <w:rFonts w:ascii="Times New Roman" w:eastAsia="Times New Roman" w:hAnsi="Times New Roman" w:cs="Times New Roman"/>
                <w:sz w:val="18"/>
                <w:szCs w:val="18"/>
                <w:lang w:eastAsia="ru-RU"/>
              </w:rPr>
              <w:br/>
              <w:t>53,60</w:t>
            </w:r>
            <w:r w:rsidRPr="00A4614F">
              <w:rPr>
                <w:rFonts w:ascii="Times New Roman" w:eastAsia="Times New Roman" w:hAnsi="Times New Roman" w:cs="Times New Roman"/>
                <w:sz w:val="18"/>
                <w:szCs w:val="18"/>
                <w:lang w:eastAsia="ru-RU"/>
              </w:rPr>
              <w:br/>
              <w:t>57,20</w:t>
            </w:r>
            <w:r w:rsidRPr="00A4614F">
              <w:rPr>
                <w:rFonts w:ascii="Times New Roman" w:eastAsia="Times New Roman" w:hAnsi="Times New Roman" w:cs="Times New Roman"/>
                <w:sz w:val="18"/>
                <w:szCs w:val="18"/>
                <w:lang w:eastAsia="ru-RU"/>
              </w:rPr>
              <w:br/>
              <w:t>60,90</w:t>
            </w:r>
            <w:r w:rsidRPr="00A4614F">
              <w:rPr>
                <w:rFonts w:ascii="Times New Roman" w:eastAsia="Times New Roman" w:hAnsi="Times New Roman" w:cs="Times New Roman"/>
                <w:sz w:val="18"/>
                <w:szCs w:val="18"/>
                <w:lang w:eastAsia="ru-RU"/>
              </w:rPr>
              <w:br/>
              <w:t>64,58</w:t>
            </w:r>
            <w:r w:rsidRPr="00A4614F">
              <w:rPr>
                <w:rFonts w:ascii="Times New Roman" w:eastAsia="Times New Roman" w:hAnsi="Times New Roman" w:cs="Times New Roman"/>
                <w:sz w:val="18"/>
                <w:szCs w:val="18"/>
                <w:lang w:eastAsia="ru-RU"/>
              </w:rPr>
              <w:br/>
              <w:t>68,35</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0,30</w:t>
            </w:r>
            <w:r w:rsidRPr="00A4614F">
              <w:rPr>
                <w:rFonts w:ascii="Times New Roman" w:eastAsia="Times New Roman" w:hAnsi="Times New Roman" w:cs="Times New Roman"/>
                <w:sz w:val="18"/>
                <w:szCs w:val="18"/>
                <w:lang w:eastAsia="ru-RU"/>
              </w:rPr>
              <w:br/>
              <w:t>3,25</w:t>
            </w:r>
            <w:r w:rsidRPr="00A4614F">
              <w:rPr>
                <w:rFonts w:ascii="Times New Roman" w:eastAsia="Times New Roman" w:hAnsi="Times New Roman" w:cs="Times New Roman"/>
                <w:sz w:val="18"/>
                <w:szCs w:val="18"/>
                <w:lang w:eastAsia="ru-RU"/>
              </w:rPr>
              <w:br/>
              <w:t>6,40</w:t>
            </w:r>
            <w:r w:rsidRPr="00A4614F">
              <w:rPr>
                <w:rFonts w:ascii="Times New Roman" w:eastAsia="Times New Roman" w:hAnsi="Times New Roman" w:cs="Times New Roman"/>
                <w:sz w:val="18"/>
                <w:szCs w:val="18"/>
                <w:lang w:eastAsia="ru-RU"/>
              </w:rPr>
              <w:br/>
              <w:t>9,60</w:t>
            </w:r>
            <w:r w:rsidRPr="00A4614F">
              <w:rPr>
                <w:rFonts w:ascii="Times New Roman" w:eastAsia="Times New Roman" w:hAnsi="Times New Roman" w:cs="Times New Roman"/>
                <w:sz w:val="18"/>
                <w:szCs w:val="18"/>
                <w:lang w:eastAsia="ru-RU"/>
              </w:rPr>
              <w:br/>
              <w:t>1290</w:t>
            </w:r>
            <w:r w:rsidRPr="00A4614F">
              <w:rPr>
                <w:rFonts w:ascii="Times New Roman" w:eastAsia="Times New Roman" w:hAnsi="Times New Roman" w:cs="Times New Roman"/>
                <w:sz w:val="18"/>
                <w:szCs w:val="18"/>
                <w:lang w:eastAsia="ru-RU"/>
              </w:rPr>
              <w:br/>
              <w:t>16,10</w:t>
            </w:r>
            <w:r w:rsidRPr="00A4614F">
              <w:rPr>
                <w:rFonts w:ascii="Times New Roman" w:eastAsia="Times New Roman" w:hAnsi="Times New Roman" w:cs="Times New Roman"/>
                <w:sz w:val="18"/>
                <w:szCs w:val="18"/>
                <w:lang w:eastAsia="ru-RU"/>
              </w:rPr>
              <w:br/>
              <w:t>19,30</w:t>
            </w:r>
            <w:r w:rsidRPr="00A4614F">
              <w:rPr>
                <w:rFonts w:ascii="Times New Roman" w:eastAsia="Times New Roman" w:hAnsi="Times New Roman" w:cs="Times New Roman"/>
                <w:sz w:val="18"/>
                <w:szCs w:val="18"/>
                <w:lang w:eastAsia="ru-RU"/>
              </w:rPr>
              <w:br/>
              <w:t>22,70</w:t>
            </w:r>
            <w:r w:rsidRPr="00A4614F">
              <w:rPr>
                <w:rFonts w:ascii="Times New Roman" w:eastAsia="Times New Roman" w:hAnsi="Times New Roman" w:cs="Times New Roman"/>
                <w:sz w:val="18"/>
                <w:szCs w:val="18"/>
                <w:lang w:eastAsia="ru-RU"/>
              </w:rPr>
              <w:br/>
              <w:t>26,00</w:t>
            </w:r>
            <w:r w:rsidRPr="00A4614F">
              <w:rPr>
                <w:rFonts w:ascii="Times New Roman" w:eastAsia="Times New Roman" w:hAnsi="Times New Roman" w:cs="Times New Roman"/>
                <w:sz w:val="18"/>
                <w:szCs w:val="18"/>
                <w:lang w:eastAsia="ru-RU"/>
              </w:rPr>
              <w:br/>
              <w:t>29,40</w:t>
            </w:r>
            <w:r w:rsidRPr="00A4614F">
              <w:rPr>
                <w:rFonts w:ascii="Times New Roman" w:eastAsia="Times New Roman" w:hAnsi="Times New Roman" w:cs="Times New Roman"/>
                <w:sz w:val="18"/>
                <w:szCs w:val="18"/>
                <w:lang w:eastAsia="ru-RU"/>
              </w:rPr>
              <w:br/>
              <w:t>32,80</w:t>
            </w:r>
            <w:r w:rsidRPr="00A4614F">
              <w:rPr>
                <w:rFonts w:ascii="Times New Roman" w:eastAsia="Times New Roman" w:hAnsi="Times New Roman" w:cs="Times New Roman"/>
                <w:sz w:val="18"/>
                <w:szCs w:val="18"/>
                <w:lang w:eastAsia="ru-RU"/>
              </w:rPr>
              <w:br/>
              <w:t>36,20</w:t>
            </w:r>
            <w:r w:rsidRPr="00A4614F">
              <w:rPr>
                <w:rFonts w:ascii="Times New Roman" w:eastAsia="Times New Roman" w:hAnsi="Times New Roman" w:cs="Times New Roman"/>
                <w:sz w:val="18"/>
                <w:szCs w:val="18"/>
                <w:lang w:eastAsia="ru-RU"/>
              </w:rPr>
              <w:br/>
              <w:t>39,70</w:t>
            </w:r>
            <w:r w:rsidRPr="00A4614F">
              <w:rPr>
                <w:rFonts w:ascii="Times New Roman" w:eastAsia="Times New Roman" w:hAnsi="Times New Roman" w:cs="Times New Roman"/>
                <w:sz w:val="18"/>
                <w:szCs w:val="18"/>
                <w:lang w:eastAsia="ru-RU"/>
              </w:rPr>
              <w:br/>
              <w:t>43,20</w:t>
            </w:r>
            <w:r w:rsidRPr="00A4614F">
              <w:rPr>
                <w:rFonts w:ascii="Times New Roman" w:eastAsia="Times New Roman" w:hAnsi="Times New Roman" w:cs="Times New Roman"/>
                <w:sz w:val="18"/>
                <w:szCs w:val="18"/>
                <w:lang w:eastAsia="ru-RU"/>
              </w:rPr>
              <w:br/>
              <w:t>46,80</w:t>
            </w:r>
            <w:r w:rsidRPr="00A4614F">
              <w:rPr>
                <w:rFonts w:ascii="Times New Roman" w:eastAsia="Times New Roman" w:hAnsi="Times New Roman" w:cs="Times New Roman"/>
                <w:sz w:val="18"/>
                <w:szCs w:val="18"/>
                <w:lang w:eastAsia="ru-RU"/>
              </w:rPr>
              <w:br/>
              <w:t>50,40</w:t>
            </w:r>
            <w:r w:rsidRPr="00A4614F">
              <w:rPr>
                <w:rFonts w:ascii="Times New Roman" w:eastAsia="Times New Roman" w:hAnsi="Times New Roman" w:cs="Times New Roman"/>
                <w:sz w:val="18"/>
                <w:szCs w:val="18"/>
                <w:lang w:eastAsia="ru-RU"/>
              </w:rPr>
              <w:br/>
              <w:t>54,00</w:t>
            </w:r>
            <w:r w:rsidRPr="00A4614F">
              <w:rPr>
                <w:rFonts w:ascii="Times New Roman" w:eastAsia="Times New Roman" w:hAnsi="Times New Roman" w:cs="Times New Roman"/>
                <w:sz w:val="18"/>
                <w:szCs w:val="18"/>
                <w:lang w:eastAsia="ru-RU"/>
              </w:rPr>
              <w:br/>
              <w:t>57,60</w:t>
            </w:r>
            <w:r w:rsidRPr="00A4614F">
              <w:rPr>
                <w:rFonts w:ascii="Times New Roman" w:eastAsia="Times New Roman" w:hAnsi="Times New Roman" w:cs="Times New Roman"/>
                <w:sz w:val="18"/>
                <w:szCs w:val="18"/>
                <w:lang w:eastAsia="ru-RU"/>
              </w:rPr>
              <w:br/>
              <w:t>61,30</w:t>
            </w:r>
            <w:r w:rsidRPr="00A4614F">
              <w:rPr>
                <w:rFonts w:ascii="Times New Roman" w:eastAsia="Times New Roman" w:hAnsi="Times New Roman" w:cs="Times New Roman"/>
                <w:sz w:val="18"/>
                <w:szCs w:val="18"/>
                <w:lang w:eastAsia="ru-RU"/>
              </w:rPr>
              <w:br/>
              <w:t>64,94</w:t>
            </w:r>
            <w:r w:rsidRPr="00A4614F">
              <w:rPr>
                <w:rFonts w:ascii="Times New Roman" w:eastAsia="Times New Roman" w:hAnsi="Times New Roman" w:cs="Times New Roman"/>
                <w:sz w:val="18"/>
                <w:szCs w:val="18"/>
                <w:lang w:eastAsia="ru-RU"/>
              </w:rPr>
              <w:br/>
              <w:t>68,80</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0,60</w:t>
            </w:r>
            <w:r w:rsidRPr="00A4614F">
              <w:rPr>
                <w:rFonts w:ascii="Times New Roman" w:eastAsia="Times New Roman" w:hAnsi="Times New Roman" w:cs="Times New Roman"/>
                <w:sz w:val="18"/>
                <w:szCs w:val="18"/>
                <w:lang w:eastAsia="ru-RU"/>
              </w:rPr>
              <w:br/>
              <w:t>3,55</w:t>
            </w:r>
            <w:r w:rsidRPr="00A4614F">
              <w:rPr>
                <w:rFonts w:ascii="Times New Roman" w:eastAsia="Times New Roman" w:hAnsi="Times New Roman" w:cs="Times New Roman"/>
                <w:sz w:val="18"/>
                <w:szCs w:val="18"/>
                <w:lang w:eastAsia="ru-RU"/>
              </w:rPr>
              <w:br/>
              <w:t>6,76</w:t>
            </w:r>
            <w:r w:rsidRPr="00A4614F">
              <w:rPr>
                <w:rFonts w:ascii="Times New Roman" w:eastAsia="Times New Roman" w:hAnsi="Times New Roman" w:cs="Times New Roman"/>
                <w:sz w:val="18"/>
                <w:szCs w:val="18"/>
                <w:lang w:eastAsia="ru-RU"/>
              </w:rPr>
              <w:br/>
              <w:t>9,95</w:t>
            </w:r>
            <w:r w:rsidRPr="00A4614F">
              <w:rPr>
                <w:rFonts w:ascii="Times New Roman" w:eastAsia="Times New Roman" w:hAnsi="Times New Roman" w:cs="Times New Roman"/>
                <w:sz w:val="18"/>
                <w:szCs w:val="18"/>
                <w:lang w:eastAsia="ru-RU"/>
              </w:rPr>
              <w:br/>
              <w:t>1320</w:t>
            </w:r>
            <w:r w:rsidRPr="00A4614F">
              <w:rPr>
                <w:rFonts w:ascii="Times New Roman" w:eastAsia="Times New Roman" w:hAnsi="Times New Roman" w:cs="Times New Roman"/>
                <w:sz w:val="18"/>
                <w:szCs w:val="18"/>
                <w:lang w:eastAsia="ru-RU"/>
              </w:rPr>
              <w:br/>
              <w:t>16,40</w:t>
            </w:r>
            <w:r w:rsidRPr="00A4614F">
              <w:rPr>
                <w:rFonts w:ascii="Times New Roman" w:eastAsia="Times New Roman" w:hAnsi="Times New Roman" w:cs="Times New Roman"/>
                <w:sz w:val="18"/>
                <w:szCs w:val="18"/>
                <w:lang w:eastAsia="ru-RU"/>
              </w:rPr>
              <w:br/>
              <w:t>19,70</w:t>
            </w:r>
            <w:r w:rsidRPr="00A4614F">
              <w:rPr>
                <w:rFonts w:ascii="Times New Roman" w:eastAsia="Times New Roman" w:hAnsi="Times New Roman" w:cs="Times New Roman"/>
                <w:sz w:val="18"/>
                <w:szCs w:val="18"/>
                <w:lang w:eastAsia="ru-RU"/>
              </w:rPr>
              <w:br/>
              <w:t>23,00</w:t>
            </w:r>
            <w:r w:rsidRPr="00A4614F">
              <w:rPr>
                <w:rFonts w:ascii="Times New Roman" w:eastAsia="Times New Roman" w:hAnsi="Times New Roman" w:cs="Times New Roman"/>
                <w:sz w:val="18"/>
                <w:szCs w:val="18"/>
                <w:lang w:eastAsia="ru-RU"/>
              </w:rPr>
              <w:br/>
              <w:t>26,30</w:t>
            </w:r>
            <w:r w:rsidRPr="00A4614F">
              <w:rPr>
                <w:rFonts w:ascii="Times New Roman" w:eastAsia="Times New Roman" w:hAnsi="Times New Roman" w:cs="Times New Roman"/>
                <w:sz w:val="18"/>
                <w:szCs w:val="18"/>
                <w:lang w:eastAsia="ru-RU"/>
              </w:rPr>
              <w:br/>
              <w:t>29,70</w:t>
            </w:r>
            <w:r w:rsidRPr="00A4614F">
              <w:rPr>
                <w:rFonts w:ascii="Times New Roman" w:eastAsia="Times New Roman" w:hAnsi="Times New Roman" w:cs="Times New Roman"/>
                <w:sz w:val="18"/>
                <w:szCs w:val="18"/>
                <w:lang w:eastAsia="ru-RU"/>
              </w:rPr>
              <w:br/>
              <w:t>33,10</w:t>
            </w:r>
            <w:r w:rsidRPr="00A4614F">
              <w:rPr>
                <w:rFonts w:ascii="Times New Roman" w:eastAsia="Times New Roman" w:hAnsi="Times New Roman" w:cs="Times New Roman"/>
                <w:sz w:val="18"/>
                <w:szCs w:val="18"/>
                <w:lang w:eastAsia="ru-RU"/>
              </w:rPr>
              <w:br/>
              <w:t>36,60</w:t>
            </w:r>
            <w:r w:rsidRPr="00A4614F">
              <w:rPr>
                <w:rFonts w:ascii="Times New Roman" w:eastAsia="Times New Roman" w:hAnsi="Times New Roman" w:cs="Times New Roman"/>
                <w:sz w:val="18"/>
                <w:szCs w:val="18"/>
                <w:lang w:eastAsia="ru-RU"/>
              </w:rPr>
              <w:br/>
              <w:t>40,00</w:t>
            </w:r>
            <w:r w:rsidRPr="00A4614F">
              <w:rPr>
                <w:rFonts w:ascii="Times New Roman" w:eastAsia="Times New Roman" w:hAnsi="Times New Roman" w:cs="Times New Roman"/>
                <w:sz w:val="18"/>
                <w:szCs w:val="18"/>
                <w:lang w:eastAsia="ru-RU"/>
              </w:rPr>
              <w:br/>
              <w:t>43,60</w:t>
            </w:r>
            <w:r w:rsidRPr="00A4614F">
              <w:rPr>
                <w:rFonts w:ascii="Times New Roman" w:eastAsia="Times New Roman" w:hAnsi="Times New Roman" w:cs="Times New Roman"/>
                <w:sz w:val="18"/>
                <w:szCs w:val="18"/>
                <w:lang w:eastAsia="ru-RU"/>
              </w:rPr>
              <w:br/>
              <w:t>47,20</w:t>
            </w:r>
            <w:r w:rsidRPr="00A4614F">
              <w:rPr>
                <w:rFonts w:ascii="Times New Roman" w:eastAsia="Times New Roman" w:hAnsi="Times New Roman" w:cs="Times New Roman"/>
                <w:sz w:val="18"/>
                <w:szCs w:val="18"/>
                <w:lang w:eastAsia="ru-RU"/>
              </w:rPr>
              <w:br/>
              <w:t>50,60</w:t>
            </w:r>
            <w:r w:rsidRPr="00A4614F">
              <w:rPr>
                <w:rFonts w:ascii="Times New Roman" w:eastAsia="Times New Roman" w:hAnsi="Times New Roman" w:cs="Times New Roman"/>
                <w:sz w:val="18"/>
                <w:szCs w:val="18"/>
                <w:lang w:eastAsia="ru-RU"/>
              </w:rPr>
              <w:br/>
              <w:t>54,40</w:t>
            </w:r>
            <w:r w:rsidRPr="00A4614F">
              <w:rPr>
                <w:rFonts w:ascii="Times New Roman" w:eastAsia="Times New Roman" w:hAnsi="Times New Roman" w:cs="Times New Roman"/>
                <w:sz w:val="18"/>
                <w:szCs w:val="18"/>
                <w:lang w:eastAsia="ru-RU"/>
              </w:rPr>
              <w:br/>
              <w:t>58,00</w:t>
            </w:r>
            <w:r w:rsidRPr="00A4614F">
              <w:rPr>
                <w:rFonts w:ascii="Times New Roman" w:eastAsia="Times New Roman" w:hAnsi="Times New Roman" w:cs="Times New Roman"/>
                <w:sz w:val="18"/>
                <w:szCs w:val="18"/>
                <w:lang w:eastAsia="ru-RU"/>
              </w:rPr>
              <w:br/>
              <w:t>61,90</w:t>
            </w:r>
            <w:r w:rsidRPr="00A4614F">
              <w:rPr>
                <w:rFonts w:ascii="Times New Roman" w:eastAsia="Times New Roman" w:hAnsi="Times New Roman" w:cs="Times New Roman"/>
                <w:sz w:val="18"/>
                <w:szCs w:val="18"/>
                <w:lang w:eastAsia="ru-RU"/>
              </w:rPr>
              <w:br/>
              <w:t>65,30</w:t>
            </w:r>
            <w:r w:rsidRPr="00A4614F">
              <w:rPr>
                <w:rFonts w:ascii="Times New Roman" w:eastAsia="Times New Roman" w:hAnsi="Times New Roman" w:cs="Times New Roman"/>
                <w:sz w:val="18"/>
                <w:szCs w:val="18"/>
                <w:lang w:eastAsia="ru-RU"/>
              </w:rPr>
              <w:br/>
              <w:t>69,29</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0,85</w:t>
            </w:r>
            <w:r w:rsidRPr="00A4614F">
              <w:rPr>
                <w:rFonts w:ascii="Times New Roman" w:eastAsia="Times New Roman" w:hAnsi="Times New Roman" w:cs="Times New Roman"/>
                <w:sz w:val="18"/>
                <w:szCs w:val="18"/>
                <w:lang w:eastAsia="ru-RU"/>
              </w:rPr>
              <w:br/>
              <w:t>3,89</w:t>
            </w:r>
            <w:r w:rsidRPr="00A4614F">
              <w:rPr>
                <w:rFonts w:ascii="Times New Roman" w:eastAsia="Times New Roman" w:hAnsi="Times New Roman" w:cs="Times New Roman"/>
                <w:sz w:val="18"/>
                <w:szCs w:val="18"/>
                <w:lang w:eastAsia="ru-RU"/>
              </w:rPr>
              <w:br/>
              <w:t>7,05</w:t>
            </w:r>
            <w:r w:rsidRPr="00A4614F">
              <w:rPr>
                <w:rFonts w:ascii="Times New Roman" w:eastAsia="Times New Roman" w:hAnsi="Times New Roman" w:cs="Times New Roman"/>
                <w:sz w:val="18"/>
                <w:szCs w:val="18"/>
                <w:lang w:eastAsia="ru-RU"/>
              </w:rPr>
              <w:br/>
              <w:t>10,30</w:t>
            </w:r>
            <w:r w:rsidRPr="00A4614F">
              <w:rPr>
                <w:rFonts w:ascii="Times New Roman" w:eastAsia="Times New Roman" w:hAnsi="Times New Roman" w:cs="Times New Roman"/>
                <w:sz w:val="18"/>
                <w:szCs w:val="18"/>
                <w:lang w:eastAsia="ru-RU"/>
              </w:rPr>
              <w:br/>
              <w:t>13,50</w:t>
            </w:r>
            <w:r w:rsidRPr="00A4614F">
              <w:rPr>
                <w:rFonts w:ascii="Times New Roman" w:eastAsia="Times New Roman" w:hAnsi="Times New Roman" w:cs="Times New Roman"/>
                <w:sz w:val="18"/>
                <w:szCs w:val="18"/>
                <w:lang w:eastAsia="ru-RU"/>
              </w:rPr>
              <w:br/>
              <w:t>16,80</w:t>
            </w:r>
            <w:r w:rsidRPr="00A4614F">
              <w:rPr>
                <w:rFonts w:ascii="Times New Roman" w:eastAsia="Times New Roman" w:hAnsi="Times New Roman" w:cs="Times New Roman"/>
                <w:sz w:val="18"/>
                <w:szCs w:val="18"/>
                <w:lang w:eastAsia="ru-RU"/>
              </w:rPr>
              <w:br/>
              <w:t>20,00</w:t>
            </w:r>
            <w:r w:rsidRPr="00A4614F">
              <w:rPr>
                <w:rFonts w:ascii="Times New Roman" w:eastAsia="Times New Roman" w:hAnsi="Times New Roman" w:cs="Times New Roman"/>
                <w:sz w:val="18"/>
                <w:szCs w:val="18"/>
                <w:lang w:eastAsia="ru-RU"/>
              </w:rPr>
              <w:br/>
              <w:t>23,30</w:t>
            </w:r>
            <w:r w:rsidRPr="00A4614F">
              <w:rPr>
                <w:rFonts w:ascii="Times New Roman" w:eastAsia="Times New Roman" w:hAnsi="Times New Roman" w:cs="Times New Roman"/>
                <w:sz w:val="18"/>
                <w:szCs w:val="18"/>
                <w:lang w:eastAsia="ru-RU"/>
              </w:rPr>
              <w:br/>
              <w:t>26,70</w:t>
            </w:r>
            <w:r w:rsidRPr="00A4614F">
              <w:rPr>
                <w:rFonts w:ascii="Times New Roman" w:eastAsia="Times New Roman" w:hAnsi="Times New Roman" w:cs="Times New Roman"/>
                <w:sz w:val="18"/>
                <w:szCs w:val="18"/>
                <w:lang w:eastAsia="ru-RU"/>
              </w:rPr>
              <w:br/>
              <w:t>30,00</w:t>
            </w:r>
            <w:r w:rsidRPr="00A4614F">
              <w:rPr>
                <w:rFonts w:ascii="Times New Roman" w:eastAsia="Times New Roman" w:hAnsi="Times New Roman" w:cs="Times New Roman"/>
                <w:sz w:val="18"/>
                <w:szCs w:val="18"/>
                <w:lang w:eastAsia="ru-RU"/>
              </w:rPr>
              <w:br/>
              <w:t>33,50</w:t>
            </w:r>
            <w:r w:rsidRPr="00A4614F">
              <w:rPr>
                <w:rFonts w:ascii="Times New Roman" w:eastAsia="Times New Roman" w:hAnsi="Times New Roman" w:cs="Times New Roman"/>
                <w:sz w:val="18"/>
                <w:szCs w:val="18"/>
                <w:lang w:eastAsia="ru-RU"/>
              </w:rPr>
              <w:br/>
              <w:t>36,90</w:t>
            </w:r>
            <w:r w:rsidRPr="00A4614F">
              <w:rPr>
                <w:rFonts w:ascii="Times New Roman" w:eastAsia="Times New Roman" w:hAnsi="Times New Roman" w:cs="Times New Roman"/>
                <w:sz w:val="18"/>
                <w:szCs w:val="18"/>
                <w:lang w:eastAsia="ru-RU"/>
              </w:rPr>
              <w:br/>
              <w:t>40,50</w:t>
            </w:r>
            <w:r w:rsidRPr="00A4614F">
              <w:rPr>
                <w:rFonts w:ascii="Times New Roman" w:eastAsia="Times New Roman" w:hAnsi="Times New Roman" w:cs="Times New Roman"/>
                <w:sz w:val="18"/>
                <w:szCs w:val="18"/>
                <w:lang w:eastAsia="ru-RU"/>
              </w:rPr>
              <w:br/>
              <w:t>43,90</w:t>
            </w:r>
            <w:r w:rsidRPr="00A4614F">
              <w:rPr>
                <w:rFonts w:ascii="Times New Roman" w:eastAsia="Times New Roman" w:hAnsi="Times New Roman" w:cs="Times New Roman"/>
                <w:sz w:val="18"/>
                <w:szCs w:val="18"/>
                <w:lang w:eastAsia="ru-RU"/>
              </w:rPr>
              <w:br/>
              <w:t>47,50</w:t>
            </w:r>
            <w:r w:rsidRPr="00A4614F">
              <w:rPr>
                <w:rFonts w:ascii="Times New Roman" w:eastAsia="Times New Roman" w:hAnsi="Times New Roman" w:cs="Times New Roman"/>
                <w:sz w:val="18"/>
                <w:szCs w:val="18"/>
                <w:lang w:eastAsia="ru-RU"/>
              </w:rPr>
              <w:br/>
              <w:t>51,20</w:t>
            </w:r>
            <w:r w:rsidRPr="00A4614F">
              <w:rPr>
                <w:rFonts w:ascii="Times New Roman" w:eastAsia="Times New Roman" w:hAnsi="Times New Roman" w:cs="Times New Roman"/>
                <w:sz w:val="18"/>
                <w:szCs w:val="18"/>
                <w:lang w:eastAsia="ru-RU"/>
              </w:rPr>
              <w:br/>
              <w:t>54,70</w:t>
            </w:r>
            <w:r w:rsidRPr="00A4614F">
              <w:rPr>
                <w:rFonts w:ascii="Times New Roman" w:eastAsia="Times New Roman" w:hAnsi="Times New Roman" w:cs="Times New Roman"/>
                <w:sz w:val="18"/>
                <w:szCs w:val="18"/>
                <w:lang w:eastAsia="ru-RU"/>
              </w:rPr>
              <w:br/>
              <w:t>58,40</w:t>
            </w:r>
            <w:r w:rsidRPr="00A4614F">
              <w:rPr>
                <w:rFonts w:ascii="Times New Roman" w:eastAsia="Times New Roman" w:hAnsi="Times New Roman" w:cs="Times New Roman"/>
                <w:sz w:val="18"/>
                <w:szCs w:val="18"/>
                <w:lang w:eastAsia="ru-RU"/>
              </w:rPr>
              <w:br/>
              <w:t>62,20</w:t>
            </w:r>
            <w:r w:rsidRPr="00A4614F">
              <w:rPr>
                <w:rFonts w:ascii="Times New Roman" w:eastAsia="Times New Roman" w:hAnsi="Times New Roman" w:cs="Times New Roman"/>
                <w:sz w:val="18"/>
                <w:szCs w:val="18"/>
                <w:lang w:eastAsia="ru-RU"/>
              </w:rPr>
              <w:br/>
              <w:t>60,00</w:t>
            </w:r>
            <w:r w:rsidRPr="00A4614F">
              <w:rPr>
                <w:rFonts w:ascii="Times New Roman" w:eastAsia="Times New Roman" w:hAnsi="Times New Roman" w:cs="Times New Roman"/>
                <w:sz w:val="18"/>
                <w:szCs w:val="18"/>
                <w:lang w:eastAsia="ru-RU"/>
              </w:rPr>
              <w:br/>
              <w:t>69,56</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1,15</w:t>
            </w:r>
            <w:r w:rsidRPr="00A4614F">
              <w:rPr>
                <w:rFonts w:ascii="Times New Roman" w:eastAsia="Times New Roman" w:hAnsi="Times New Roman" w:cs="Times New Roman"/>
                <w:sz w:val="18"/>
                <w:szCs w:val="18"/>
                <w:lang w:eastAsia="ru-RU"/>
              </w:rPr>
              <w:br/>
              <w:t>4,20</w:t>
            </w:r>
            <w:r w:rsidRPr="00A4614F">
              <w:rPr>
                <w:rFonts w:ascii="Times New Roman" w:eastAsia="Times New Roman" w:hAnsi="Times New Roman" w:cs="Times New Roman"/>
                <w:sz w:val="18"/>
                <w:szCs w:val="18"/>
                <w:lang w:eastAsia="ru-RU"/>
              </w:rPr>
              <w:br/>
              <w:t>7,40</w:t>
            </w:r>
            <w:r w:rsidRPr="00A4614F">
              <w:rPr>
                <w:rFonts w:ascii="Times New Roman" w:eastAsia="Times New Roman" w:hAnsi="Times New Roman" w:cs="Times New Roman"/>
                <w:sz w:val="18"/>
                <w:szCs w:val="18"/>
                <w:lang w:eastAsia="ru-RU"/>
              </w:rPr>
              <w:br/>
              <w:t>10,60</w:t>
            </w:r>
            <w:r w:rsidRPr="00A4614F">
              <w:rPr>
                <w:rFonts w:ascii="Times New Roman" w:eastAsia="Times New Roman" w:hAnsi="Times New Roman" w:cs="Times New Roman"/>
                <w:sz w:val="18"/>
                <w:szCs w:val="18"/>
                <w:lang w:eastAsia="ru-RU"/>
              </w:rPr>
              <w:br/>
              <w:t>13,85</w:t>
            </w:r>
            <w:r w:rsidRPr="00A4614F">
              <w:rPr>
                <w:rFonts w:ascii="Times New Roman" w:eastAsia="Times New Roman" w:hAnsi="Times New Roman" w:cs="Times New Roman"/>
                <w:sz w:val="18"/>
                <w:szCs w:val="18"/>
                <w:lang w:eastAsia="ru-RU"/>
              </w:rPr>
              <w:br/>
              <w:t>17,10</w:t>
            </w:r>
            <w:r w:rsidRPr="00A4614F">
              <w:rPr>
                <w:rFonts w:ascii="Times New Roman" w:eastAsia="Times New Roman" w:hAnsi="Times New Roman" w:cs="Times New Roman"/>
                <w:sz w:val="18"/>
                <w:szCs w:val="18"/>
                <w:lang w:eastAsia="ru-RU"/>
              </w:rPr>
              <w:br/>
              <w:t>20,30</w:t>
            </w:r>
            <w:r w:rsidRPr="00A4614F">
              <w:rPr>
                <w:rFonts w:ascii="Times New Roman" w:eastAsia="Times New Roman" w:hAnsi="Times New Roman" w:cs="Times New Roman"/>
                <w:sz w:val="18"/>
                <w:szCs w:val="18"/>
                <w:lang w:eastAsia="ru-RU"/>
              </w:rPr>
              <w:br/>
              <w:t>23,70</w:t>
            </w:r>
            <w:r w:rsidRPr="00A4614F">
              <w:rPr>
                <w:rFonts w:ascii="Times New Roman" w:eastAsia="Times New Roman" w:hAnsi="Times New Roman" w:cs="Times New Roman"/>
                <w:sz w:val="18"/>
                <w:szCs w:val="18"/>
                <w:lang w:eastAsia="ru-RU"/>
              </w:rPr>
              <w:br/>
              <w:t>27,00</w:t>
            </w:r>
            <w:r w:rsidRPr="00A4614F">
              <w:rPr>
                <w:rFonts w:ascii="Times New Roman" w:eastAsia="Times New Roman" w:hAnsi="Times New Roman" w:cs="Times New Roman"/>
                <w:sz w:val="18"/>
                <w:szCs w:val="18"/>
                <w:lang w:eastAsia="ru-RU"/>
              </w:rPr>
              <w:br/>
              <w:t>30,40</w:t>
            </w:r>
            <w:r w:rsidRPr="00A4614F">
              <w:rPr>
                <w:rFonts w:ascii="Times New Roman" w:eastAsia="Times New Roman" w:hAnsi="Times New Roman" w:cs="Times New Roman"/>
                <w:sz w:val="18"/>
                <w:szCs w:val="18"/>
                <w:lang w:eastAsia="ru-RU"/>
              </w:rPr>
              <w:br/>
              <w:t>33,80</w:t>
            </w:r>
            <w:r w:rsidRPr="00A4614F">
              <w:rPr>
                <w:rFonts w:ascii="Times New Roman" w:eastAsia="Times New Roman" w:hAnsi="Times New Roman" w:cs="Times New Roman"/>
                <w:sz w:val="18"/>
                <w:szCs w:val="18"/>
                <w:lang w:eastAsia="ru-RU"/>
              </w:rPr>
              <w:br/>
              <w:t>37,30</w:t>
            </w:r>
            <w:r w:rsidRPr="00A4614F">
              <w:rPr>
                <w:rFonts w:ascii="Times New Roman" w:eastAsia="Times New Roman" w:hAnsi="Times New Roman" w:cs="Times New Roman"/>
                <w:sz w:val="18"/>
                <w:szCs w:val="18"/>
                <w:lang w:eastAsia="ru-RU"/>
              </w:rPr>
              <w:br/>
              <w:t>40,70</w:t>
            </w:r>
            <w:r w:rsidRPr="00A4614F">
              <w:rPr>
                <w:rFonts w:ascii="Times New Roman" w:eastAsia="Times New Roman" w:hAnsi="Times New Roman" w:cs="Times New Roman"/>
                <w:sz w:val="18"/>
                <w:szCs w:val="18"/>
                <w:lang w:eastAsia="ru-RU"/>
              </w:rPr>
              <w:br/>
              <w:t>44,30</w:t>
            </w:r>
            <w:r w:rsidRPr="00A4614F">
              <w:rPr>
                <w:rFonts w:ascii="Times New Roman" w:eastAsia="Times New Roman" w:hAnsi="Times New Roman" w:cs="Times New Roman"/>
                <w:sz w:val="18"/>
                <w:szCs w:val="18"/>
                <w:lang w:eastAsia="ru-RU"/>
              </w:rPr>
              <w:br/>
              <w:t>47,80</w:t>
            </w:r>
            <w:r w:rsidRPr="00A4614F">
              <w:rPr>
                <w:rFonts w:ascii="Times New Roman" w:eastAsia="Times New Roman" w:hAnsi="Times New Roman" w:cs="Times New Roman"/>
                <w:sz w:val="18"/>
                <w:szCs w:val="18"/>
                <w:lang w:eastAsia="ru-RU"/>
              </w:rPr>
              <w:br/>
              <w:t>51,40</w:t>
            </w:r>
            <w:r w:rsidRPr="00A4614F">
              <w:rPr>
                <w:rFonts w:ascii="Times New Roman" w:eastAsia="Times New Roman" w:hAnsi="Times New Roman" w:cs="Times New Roman"/>
                <w:sz w:val="18"/>
                <w:szCs w:val="18"/>
                <w:lang w:eastAsia="ru-RU"/>
              </w:rPr>
              <w:br/>
              <w:t>54,90</w:t>
            </w:r>
            <w:r w:rsidRPr="00A4614F">
              <w:rPr>
                <w:rFonts w:ascii="Times New Roman" w:eastAsia="Times New Roman" w:hAnsi="Times New Roman" w:cs="Times New Roman"/>
                <w:sz w:val="18"/>
                <w:szCs w:val="18"/>
                <w:lang w:eastAsia="ru-RU"/>
              </w:rPr>
              <w:br/>
              <w:t>58,70</w:t>
            </w:r>
            <w:r w:rsidRPr="00A4614F">
              <w:rPr>
                <w:rFonts w:ascii="Times New Roman" w:eastAsia="Times New Roman" w:hAnsi="Times New Roman" w:cs="Times New Roman"/>
                <w:sz w:val="18"/>
                <w:szCs w:val="18"/>
                <w:lang w:eastAsia="ru-RU"/>
              </w:rPr>
              <w:br/>
              <w:t>62,50</w:t>
            </w:r>
            <w:r w:rsidRPr="00A4614F">
              <w:rPr>
                <w:rFonts w:ascii="Times New Roman" w:eastAsia="Times New Roman" w:hAnsi="Times New Roman" w:cs="Times New Roman"/>
                <w:sz w:val="18"/>
                <w:szCs w:val="18"/>
                <w:lang w:eastAsia="ru-RU"/>
              </w:rPr>
              <w:br/>
              <w:t>66,08</w:t>
            </w:r>
            <w:r w:rsidRPr="00A4614F">
              <w:rPr>
                <w:rFonts w:ascii="Times New Roman" w:eastAsia="Times New Roman" w:hAnsi="Times New Roman" w:cs="Times New Roman"/>
                <w:sz w:val="18"/>
                <w:szCs w:val="18"/>
                <w:lang w:eastAsia="ru-RU"/>
              </w:rPr>
              <w:br/>
              <w:t>69,75</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1,45</w:t>
            </w:r>
            <w:r w:rsidRPr="00A4614F">
              <w:rPr>
                <w:rFonts w:ascii="Times New Roman" w:eastAsia="Times New Roman" w:hAnsi="Times New Roman" w:cs="Times New Roman"/>
                <w:sz w:val="18"/>
                <w:szCs w:val="18"/>
                <w:lang w:eastAsia="ru-RU"/>
              </w:rPr>
              <w:br/>
              <w:t>4,50</w:t>
            </w:r>
            <w:r w:rsidRPr="00A4614F">
              <w:rPr>
                <w:rFonts w:ascii="Times New Roman" w:eastAsia="Times New Roman" w:hAnsi="Times New Roman" w:cs="Times New Roman"/>
                <w:sz w:val="18"/>
                <w:szCs w:val="18"/>
                <w:lang w:eastAsia="ru-RU"/>
              </w:rPr>
              <w:br/>
              <w:t>7,70</w:t>
            </w:r>
            <w:r w:rsidRPr="00A4614F">
              <w:rPr>
                <w:rFonts w:ascii="Times New Roman" w:eastAsia="Times New Roman" w:hAnsi="Times New Roman" w:cs="Times New Roman"/>
                <w:sz w:val="18"/>
                <w:szCs w:val="18"/>
                <w:lang w:eastAsia="ru-RU"/>
              </w:rPr>
              <w:br/>
              <w:t>11,00</w:t>
            </w:r>
            <w:r w:rsidRPr="00A4614F">
              <w:rPr>
                <w:rFonts w:ascii="Times New Roman" w:eastAsia="Times New Roman" w:hAnsi="Times New Roman" w:cs="Times New Roman"/>
                <w:sz w:val="18"/>
                <w:szCs w:val="18"/>
                <w:lang w:eastAsia="ru-RU"/>
              </w:rPr>
              <w:br/>
              <w:t>14,15</w:t>
            </w:r>
            <w:r w:rsidRPr="00A4614F">
              <w:rPr>
                <w:rFonts w:ascii="Times New Roman" w:eastAsia="Times New Roman" w:hAnsi="Times New Roman" w:cs="Times New Roman"/>
                <w:sz w:val="18"/>
                <w:szCs w:val="18"/>
                <w:lang w:eastAsia="ru-RU"/>
              </w:rPr>
              <w:br/>
              <w:t>17,40</w:t>
            </w:r>
            <w:r w:rsidRPr="00A4614F">
              <w:rPr>
                <w:rFonts w:ascii="Times New Roman" w:eastAsia="Times New Roman" w:hAnsi="Times New Roman" w:cs="Times New Roman"/>
                <w:sz w:val="18"/>
                <w:szCs w:val="18"/>
                <w:lang w:eastAsia="ru-RU"/>
              </w:rPr>
              <w:br/>
              <w:t>20,60</w:t>
            </w:r>
            <w:r w:rsidRPr="00A4614F">
              <w:rPr>
                <w:rFonts w:ascii="Times New Roman" w:eastAsia="Times New Roman" w:hAnsi="Times New Roman" w:cs="Times New Roman"/>
                <w:sz w:val="18"/>
                <w:szCs w:val="18"/>
                <w:lang w:eastAsia="ru-RU"/>
              </w:rPr>
              <w:br/>
              <w:t>24,00</w:t>
            </w:r>
            <w:r w:rsidRPr="00A4614F">
              <w:rPr>
                <w:rFonts w:ascii="Times New Roman" w:eastAsia="Times New Roman" w:hAnsi="Times New Roman" w:cs="Times New Roman"/>
                <w:sz w:val="18"/>
                <w:szCs w:val="18"/>
                <w:lang w:eastAsia="ru-RU"/>
              </w:rPr>
              <w:br/>
              <w:t>27,30</w:t>
            </w:r>
            <w:r w:rsidRPr="00A4614F">
              <w:rPr>
                <w:rFonts w:ascii="Times New Roman" w:eastAsia="Times New Roman" w:hAnsi="Times New Roman" w:cs="Times New Roman"/>
                <w:sz w:val="18"/>
                <w:szCs w:val="18"/>
                <w:lang w:eastAsia="ru-RU"/>
              </w:rPr>
              <w:br/>
              <w:t>30,70</w:t>
            </w:r>
            <w:r w:rsidRPr="00A4614F">
              <w:rPr>
                <w:rFonts w:ascii="Times New Roman" w:eastAsia="Times New Roman" w:hAnsi="Times New Roman" w:cs="Times New Roman"/>
                <w:sz w:val="18"/>
                <w:szCs w:val="18"/>
                <w:lang w:eastAsia="ru-RU"/>
              </w:rPr>
              <w:br/>
              <w:t>34,10</w:t>
            </w:r>
            <w:r w:rsidRPr="00A4614F">
              <w:rPr>
                <w:rFonts w:ascii="Times New Roman" w:eastAsia="Times New Roman" w:hAnsi="Times New Roman" w:cs="Times New Roman"/>
                <w:sz w:val="18"/>
                <w:szCs w:val="18"/>
                <w:lang w:eastAsia="ru-RU"/>
              </w:rPr>
              <w:br/>
              <w:t>37,60</w:t>
            </w:r>
            <w:r w:rsidRPr="00A4614F">
              <w:rPr>
                <w:rFonts w:ascii="Times New Roman" w:eastAsia="Times New Roman" w:hAnsi="Times New Roman" w:cs="Times New Roman"/>
                <w:sz w:val="18"/>
                <w:szCs w:val="18"/>
                <w:lang w:eastAsia="ru-RU"/>
              </w:rPr>
              <w:br/>
              <w:t>41,10</w:t>
            </w:r>
            <w:r w:rsidRPr="00A4614F">
              <w:rPr>
                <w:rFonts w:ascii="Times New Roman" w:eastAsia="Times New Roman" w:hAnsi="Times New Roman" w:cs="Times New Roman"/>
                <w:sz w:val="18"/>
                <w:szCs w:val="18"/>
                <w:lang w:eastAsia="ru-RU"/>
              </w:rPr>
              <w:br/>
              <w:t>44,70</w:t>
            </w:r>
            <w:r w:rsidRPr="00A4614F">
              <w:rPr>
                <w:rFonts w:ascii="Times New Roman" w:eastAsia="Times New Roman" w:hAnsi="Times New Roman" w:cs="Times New Roman"/>
                <w:sz w:val="18"/>
                <w:szCs w:val="18"/>
                <w:lang w:eastAsia="ru-RU"/>
              </w:rPr>
              <w:br/>
              <w:t>48,30</w:t>
            </w:r>
            <w:r w:rsidRPr="00A4614F">
              <w:rPr>
                <w:rFonts w:ascii="Times New Roman" w:eastAsia="Times New Roman" w:hAnsi="Times New Roman" w:cs="Times New Roman"/>
                <w:sz w:val="18"/>
                <w:szCs w:val="18"/>
                <w:lang w:eastAsia="ru-RU"/>
              </w:rPr>
              <w:br/>
              <w:t>51,80</w:t>
            </w:r>
            <w:r w:rsidRPr="00A4614F">
              <w:rPr>
                <w:rFonts w:ascii="Times New Roman" w:eastAsia="Times New Roman" w:hAnsi="Times New Roman" w:cs="Times New Roman"/>
                <w:sz w:val="18"/>
                <w:szCs w:val="18"/>
                <w:lang w:eastAsia="ru-RU"/>
              </w:rPr>
              <w:br/>
              <w:t>55,40</w:t>
            </w:r>
            <w:r w:rsidRPr="00A4614F">
              <w:rPr>
                <w:rFonts w:ascii="Times New Roman" w:eastAsia="Times New Roman" w:hAnsi="Times New Roman" w:cs="Times New Roman"/>
                <w:sz w:val="18"/>
                <w:szCs w:val="18"/>
                <w:lang w:eastAsia="ru-RU"/>
              </w:rPr>
              <w:br/>
              <w:t>59,00</w:t>
            </w:r>
            <w:r w:rsidRPr="00A4614F">
              <w:rPr>
                <w:rFonts w:ascii="Times New Roman" w:eastAsia="Times New Roman" w:hAnsi="Times New Roman" w:cs="Times New Roman"/>
                <w:sz w:val="18"/>
                <w:szCs w:val="18"/>
                <w:lang w:eastAsia="ru-RU"/>
              </w:rPr>
              <w:br/>
              <w:t>62,83</w:t>
            </w:r>
            <w:r w:rsidRPr="00A4614F">
              <w:rPr>
                <w:rFonts w:ascii="Times New Roman" w:eastAsia="Times New Roman" w:hAnsi="Times New Roman" w:cs="Times New Roman"/>
                <w:sz w:val="18"/>
                <w:szCs w:val="18"/>
                <w:lang w:eastAsia="ru-RU"/>
              </w:rPr>
              <w:br/>
              <w:t>66,60</w:t>
            </w:r>
            <w:r w:rsidRPr="00A4614F">
              <w:rPr>
                <w:rFonts w:ascii="Times New Roman" w:eastAsia="Times New Roman" w:hAnsi="Times New Roman" w:cs="Times New Roman"/>
                <w:sz w:val="18"/>
                <w:szCs w:val="18"/>
                <w:lang w:eastAsia="ru-RU"/>
              </w:rPr>
              <w:br/>
              <w:t>70,25</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1,75</w:t>
            </w:r>
            <w:r w:rsidRPr="00A4614F">
              <w:rPr>
                <w:rFonts w:ascii="Times New Roman" w:eastAsia="Times New Roman" w:hAnsi="Times New Roman" w:cs="Times New Roman"/>
                <w:sz w:val="18"/>
                <w:szCs w:val="18"/>
                <w:lang w:eastAsia="ru-RU"/>
              </w:rPr>
              <w:br/>
              <w:t>4,86</w:t>
            </w:r>
            <w:r w:rsidRPr="00A4614F">
              <w:rPr>
                <w:rFonts w:ascii="Times New Roman" w:eastAsia="Times New Roman" w:hAnsi="Times New Roman" w:cs="Times New Roman"/>
                <w:sz w:val="18"/>
                <w:szCs w:val="18"/>
                <w:lang w:eastAsia="ru-RU"/>
              </w:rPr>
              <w:br/>
              <w:t>8,00</w:t>
            </w:r>
            <w:r w:rsidRPr="00A4614F">
              <w:rPr>
                <w:rFonts w:ascii="Times New Roman" w:eastAsia="Times New Roman" w:hAnsi="Times New Roman" w:cs="Times New Roman"/>
                <w:sz w:val="18"/>
                <w:szCs w:val="18"/>
                <w:lang w:eastAsia="ru-RU"/>
              </w:rPr>
              <w:br/>
              <w:t>11,20</w:t>
            </w:r>
            <w:r w:rsidRPr="00A4614F">
              <w:rPr>
                <w:rFonts w:ascii="Times New Roman" w:eastAsia="Times New Roman" w:hAnsi="Times New Roman" w:cs="Times New Roman"/>
                <w:sz w:val="18"/>
                <w:szCs w:val="18"/>
                <w:lang w:eastAsia="ru-RU"/>
              </w:rPr>
              <w:br/>
              <w:t>14,50</w:t>
            </w:r>
            <w:r w:rsidRPr="00A4614F">
              <w:rPr>
                <w:rFonts w:ascii="Times New Roman" w:eastAsia="Times New Roman" w:hAnsi="Times New Roman" w:cs="Times New Roman"/>
                <w:sz w:val="18"/>
                <w:szCs w:val="18"/>
                <w:lang w:eastAsia="ru-RU"/>
              </w:rPr>
              <w:br/>
              <w:t>17,70</w:t>
            </w:r>
            <w:r w:rsidRPr="00A4614F">
              <w:rPr>
                <w:rFonts w:ascii="Times New Roman" w:eastAsia="Times New Roman" w:hAnsi="Times New Roman" w:cs="Times New Roman"/>
                <w:sz w:val="18"/>
                <w:szCs w:val="18"/>
                <w:lang w:eastAsia="ru-RU"/>
              </w:rPr>
              <w:br/>
              <w:t>20,90</w:t>
            </w:r>
            <w:r w:rsidRPr="00A4614F">
              <w:rPr>
                <w:rFonts w:ascii="Times New Roman" w:eastAsia="Times New Roman" w:hAnsi="Times New Roman" w:cs="Times New Roman"/>
                <w:sz w:val="18"/>
                <w:szCs w:val="18"/>
                <w:lang w:eastAsia="ru-RU"/>
              </w:rPr>
              <w:br/>
              <w:t>24,30</w:t>
            </w:r>
            <w:r w:rsidRPr="00A4614F">
              <w:rPr>
                <w:rFonts w:ascii="Times New Roman" w:eastAsia="Times New Roman" w:hAnsi="Times New Roman" w:cs="Times New Roman"/>
                <w:sz w:val="18"/>
                <w:szCs w:val="18"/>
                <w:lang w:eastAsia="ru-RU"/>
              </w:rPr>
              <w:br/>
              <w:t>27,70</w:t>
            </w:r>
            <w:r w:rsidRPr="00A4614F">
              <w:rPr>
                <w:rFonts w:ascii="Times New Roman" w:eastAsia="Times New Roman" w:hAnsi="Times New Roman" w:cs="Times New Roman"/>
                <w:sz w:val="18"/>
                <w:szCs w:val="18"/>
                <w:lang w:eastAsia="ru-RU"/>
              </w:rPr>
              <w:br/>
              <w:t>31,10</w:t>
            </w:r>
            <w:r w:rsidRPr="00A4614F">
              <w:rPr>
                <w:rFonts w:ascii="Times New Roman" w:eastAsia="Times New Roman" w:hAnsi="Times New Roman" w:cs="Times New Roman"/>
                <w:sz w:val="18"/>
                <w:szCs w:val="18"/>
                <w:lang w:eastAsia="ru-RU"/>
              </w:rPr>
              <w:br/>
              <w:t>34,50</w:t>
            </w:r>
            <w:r w:rsidRPr="00A4614F">
              <w:rPr>
                <w:rFonts w:ascii="Times New Roman" w:eastAsia="Times New Roman" w:hAnsi="Times New Roman" w:cs="Times New Roman"/>
                <w:sz w:val="18"/>
                <w:szCs w:val="18"/>
                <w:lang w:eastAsia="ru-RU"/>
              </w:rPr>
              <w:br/>
              <w:t>38,00</w:t>
            </w:r>
            <w:r w:rsidRPr="00A4614F">
              <w:rPr>
                <w:rFonts w:ascii="Times New Roman" w:eastAsia="Times New Roman" w:hAnsi="Times New Roman" w:cs="Times New Roman"/>
                <w:sz w:val="18"/>
                <w:szCs w:val="18"/>
                <w:lang w:eastAsia="ru-RU"/>
              </w:rPr>
              <w:br/>
              <w:t>41,40</w:t>
            </w:r>
            <w:r w:rsidRPr="00A4614F">
              <w:rPr>
                <w:rFonts w:ascii="Times New Roman" w:eastAsia="Times New Roman" w:hAnsi="Times New Roman" w:cs="Times New Roman"/>
                <w:sz w:val="18"/>
                <w:szCs w:val="18"/>
                <w:lang w:eastAsia="ru-RU"/>
              </w:rPr>
              <w:br/>
              <w:t>45,00</w:t>
            </w:r>
            <w:r w:rsidRPr="00A4614F">
              <w:rPr>
                <w:rFonts w:ascii="Times New Roman" w:eastAsia="Times New Roman" w:hAnsi="Times New Roman" w:cs="Times New Roman"/>
                <w:sz w:val="18"/>
                <w:szCs w:val="18"/>
                <w:lang w:eastAsia="ru-RU"/>
              </w:rPr>
              <w:br/>
              <w:t>48,60</w:t>
            </w:r>
            <w:r w:rsidRPr="00A4614F">
              <w:rPr>
                <w:rFonts w:ascii="Times New Roman" w:eastAsia="Times New Roman" w:hAnsi="Times New Roman" w:cs="Times New Roman"/>
                <w:sz w:val="18"/>
                <w:szCs w:val="18"/>
                <w:lang w:eastAsia="ru-RU"/>
              </w:rPr>
              <w:br/>
              <w:t>52,20</w:t>
            </w:r>
            <w:r w:rsidRPr="00A4614F">
              <w:rPr>
                <w:rFonts w:ascii="Times New Roman" w:eastAsia="Times New Roman" w:hAnsi="Times New Roman" w:cs="Times New Roman"/>
                <w:sz w:val="18"/>
                <w:szCs w:val="18"/>
                <w:lang w:eastAsia="ru-RU"/>
              </w:rPr>
              <w:br/>
              <w:t>55,80</w:t>
            </w:r>
            <w:r w:rsidRPr="00A4614F">
              <w:rPr>
                <w:rFonts w:ascii="Times New Roman" w:eastAsia="Times New Roman" w:hAnsi="Times New Roman" w:cs="Times New Roman"/>
                <w:sz w:val="18"/>
                <w:szCs w:val="18"/>
                <w:lang w:eastAsia="ru-RU"/>
              </w:rPr>
              <w:br/>
              <w:t>59,40</w:t>
            </w:r>
            <w:r w:rsidRPr="00A4614F">
              <w:rPr>
                <w:rFonts w:ascii="Times New Roman" w:eastAsia="Times New Roman" w:hAnsi="Times New Roman" w:cs="Times New Roman"/>
                <w:sz w:val="18"/>
                <w:szCs w:val="18"/>
                <w:lang w:eastAsia="ru-RU"/>
              </w:rPr>
              <w:br/>
              <w:t>63,10</w:t>
            </w:r>
            <w:r w:rsidRPr="00A4614F">
              <w:rPr>
                <w:rFonts w:ascii="Times New Roman" w:eastAsia="Times New Roman" w:hAnsi="Times New Roman" w:cs="Times New Roman"/>
                <w:sz w:val="18"/>
                <w:szCs w:val="18"/>
                <w:lang w:eastAsia="ru-RU"/>
              </w:rPr>
              <w:br/>
              <w:t>66,90</w:t>
            </w:r>
            <w:r w:rsidRPr="00A4614F">
              <w:rPr>
                <w:rFonts w:ascii="Times New Roman" w:eastAsia="Times New Roman" w:hAnsi="Times New Roman" w:cs="Times New Roman"/>
                <w:sz w:val="18"/>
                <w:szCs w:val="18"/>
                <w:lang w:eastAsia="ru-RU"/>
              </w:rPr>
              <w:br/>
              <w:t>70,62</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2,05</w:t>
            </w:r>
            <w:r w:rsidRPr="00A4614F">
              <w:rPr>
                <w:rFonts w:ascii="Times New Roman" w:eastAsia="Times New Roman" w:hAnsi="Times New Roman" w:cs="Times New Roman"/>
                <w:sz w:val="18"/>
                <w:szCs w:val="18"/>
                <w:lang w:eastAsia="ru-RU"/>
              </w:rPr>
              <w:br/>
              <w:t>5,15</w:t>
            </w:r>
            <w:r w:rsidRPr="00A4614F">
              <w:rPr>
                <w:rFonts w:ascii="Times New Roman" w:eastAsia="Times New Roman" w:hAnsi="Times New Roman" w:cs="Times New Roman"/>
                <w:sz w:val="18"/>
                <w:szCs w:val="18"/>
                <w:lang w:eastAsia="ru-RU"/>
              </w:rPr>
              <w:br/>
              <w:t>8,35</w:t>
            </w:r>
            <w:r w:rsidRPr="00A4614F">
              <w:rPr>
                <w:rFonts w:ascii="Times New Roman" w:eastAsia="Times New Roman" w:hAnsi="Times New Roman" w:cs="Times New Roman"/>
                <w:sz w:val="18"/>
                <w:szCs w:val="18"/>
                <w:lang w:eastAsia="ru-RU"/>
              </w:rPr>
              <w:br/>
              <w:t>11,60</w:t>
            </w:r>
            <w:r w:rsidRPr="00A4614F">
              <w:rPr>
                <w:rFonts w:ascii="Times New Roman" w:eastAsia="Times New Roman" w:hAnsi="Times New Roman" w:cs="Times New Roman"/>
                <w:sz w:val="18"/>
                <w:szCs w:val="18"/>
                <w:lang w:eastAsia="ru-RU"/>
              </w:rPr>
              <w:br/>
              <w:t>14,85</w:t>
            </w:r>
            <w:r w:rsidRPr="00A4614F">
              <w:rPr>
                <w:rFonts w:ascii="Times New Roman" w:eastAsia="Times New Roman" w:hAnsi="Times New Roman" w:cs="Times New Roman"/>
                <w:sz w:val="18"/>
                <w:szCs w:val="18"/>
                <w:lang w:eastAsia="ru-RU"/>
              </w:rPr>
              <w:br/>
              <w:t>18,00</w:t>
            </w:r>
            <w:r w:rsidRPr="00A4614F">
              <w:rPr>
                <w:rFonts w:ascii="Times New Roman" w:eastAsia="Times New Roman" w:hAnsi="Times New Roman" w:cs="Times New Roman"/>
                <w:sz w:val="18"/>
                <w:szCs w:val="18"/>
                <w:lang w:eastAsia="ru-RU"/>
              </w:rPr>
              <w:br/>
              <w:t>21,20</w:t>
            </w:r>
            <w:r w:rsidRPr="00A4614F">
              <w:rPr>
                <w:rFonts w:ascii="Times New Roman" w:eastAsia="Times New Roman" w:hAnsi="Times New Roman" w:cs="Times New Roman"/>
                <w:sz w:val="18"/>
                <w:szCs w:val="18"/>
                <w:lang w:eastAsia="ru-RU"/>
              </w:rPr>
              <w:br/>
              <w:t>24,70</w:t>
            </w:r>
            <w:r w:rsidRPr="00A4614F">
              <w:rPr>
                <w:rFonts w:ascii="Times New Roman" w:eastAsia="Times New Roman" w:hAnsi="Times New Roman" w:cs="Times New Roman"/>
                <w:sz w:val="18"/>
                <w:szCs w:val="18"/>
                <w:lang w:eastAsia="ru-RU"/>
              </w:rPr>
              <w:br/>
              <w:t>28,00</w:t>
            </w:r>
            <w:r w:rsidRPr="00A4614F">
              <w:rPr>
                <w:rFonts w:ascii="Times New Roman" w:eastAsia="Times New Roman" w:hAnsi="Times New Roman" w:cs="Times New Roman"/>
                <w:sz w:val="18"/>
                <w:szCs w:val="18"/>
                <w:lang w:eastAsia="ru-RU"/>
              </w:rPr>
              <w:br/>
              <w:t>31,40</w:t>
            </w:r>
            <w:r w:rsidRPr="00A4614F">
              <w:rPr>
                <w:rFonts w:ascii="Times New Roman" w:eastAsia="Times New Roman" w:hAnsi="Times New Roman" w:cs="Times New Roman"/>
                <w:sz w:val="18"/>
                <w:szCs w:val="18"/>
                <w:lang w:eastAsia="ru-RU"/>
              </w:rPr>
              <w:br/>
              <w:t>34,80</w:t>
            </w:r>
            <w:r w:rsidRPr="00A4614F">
              <w:rPr>
                <w:rFonts w:ascii="Times New Roman" w:eastAsia="Times New Roman" w:hAnsi="Times New Roman" w:cs="Times New Roman"/>
                <w:sz w:val="18"/>
                <w:szCs w:val="18"/>
                <w:lang w:eastAsia="ru-RU"/>
              </w:rPr>
              <w:br/>
              <w:t>38,30</w:t>
            </w:r>
            <w:r w:rsidRPr="00A4614F">
              <w:rPr>
                <w:rFonts w:ascii="Times New Roman" w:eastAsia="Times New Roman" w:hAnsi="Times New Roman" w:cs="Times New Roman"/>
                <w:sz w:val="18"/>
                <w:szCs w:val="18"/>
                <w:lang w:eastAsia="ru-RU"/>
              </w:rPr>
              <w:br/>
              <w:t>41,80</w:t>
            </w:r>
            <w:r w:rsidRPr="00A4614F">
              <w:rPr>
                <w:rFonts w:ascii="Times New Roman" w:eastAsia="Times New Roman" w:hAnsi="Times New Roman" w:cs="Times New Roman"/>
                <w:sz w:val="18"/>
                <w:szCs w:val="18"/>
                <w:lang w:eastAsia="ru-RU"/>
              </w:rPr>
              <w:br/>
              <w:t>45,40</w:t>
            </w:r>
            <w:r w:rsidRPr="00A4614F">
              <w:rPr>
                <w:rFonts w:ascii="Times New Roman" w:eastAsia="Times New Roman" w:hAnsi="Times New Roman" w:cs="Times New Roman"/>
                <w:sz w:val="18"/>
                <w:szCs w:val="18"/>
                <w:lang w:eastAsia="ru-RU"/>
              </w:rPr>
              <w:br/>
              <w:t>48,80</w:t>
            </w:r>
            <w:r w:rsidRPr="00A4614F">
              <w:rPr>
                <w:rFonts w:ascii="Times New Roman" w:eastAsia="Times New Roman" w:hAnsi="Times New Roman" w:cs="Times New Roman"/>
                <w:sz w:val="18"/>
                <w:szCs w:val="18"/>
                <w:lang w:eastAsia="ru-RU"/>
              </w:rPr>
              <w:br/>
              <w:t>52,60</w:t>
            </w:r>
            <w:r w:rsidRPr="00A4614F">
              <w:rPr>
                <w:rFonts w:ascii="Times New Roman" w:eastAsia="Times New Roman" w:hAnsi="Times New Roman" w:cs="Times New Roman"/>
                <w:sz w:val="18"/>
                <w:szCs w:val="18"/>
                <w:lang w:eastAsia="ru-RU"/>
              </w:rPr>
              <w:br/>
              <w:t>56,20</w:t>
            </w:r>
            <w:r w:rsidRPr="00A4614F">
              <w:rPr>
                <w:rFonts w:ascii="Times New Roman" w:eastAsia="Times New Roman" w:hAnsi="Times New Roman" w:cs="Times New Roman"/>
                <w:sz w:val="18"/>
                <w:szCs w:val="18"/>
                <w:lang w:eastAsia="ru-RU"/>
              </w:rPr>
              <w:br/>
              <w:t>59,80</w:t>
            </w:r>
            <w:r w:rsidRPr="00A4614F">
              <w:rPr>
                <w:rFonts w:ascii="Times New Roman" w:eastAsia="Times New Roman" w:hAnsi="Times New Roman" w:cs="Times New Roman"/>
                <w:sz w:val="18"/>
                <w:szCs w:val="18"/>
                <w:lang w:eastAsia="ru-RU"/>
              </w:rPr>
              <w:br/>
              <w:t>63,68</w:t>
            </w:r>
            <w:r w:rsidRPr="00A4614F">
              <w:rPr>
                <w:rFonts w:ascii="Times New Roman" w:eastAsia="Times New Roman" w:hAnsi="Times New Roman" w:cs="Times New Roman"/>
                <w:sz w:val="18"/>
                <w:szCs w:val="18"/>
                <w:lang w:eastAsia="ru-RU"/>
              </w:rPr>
              <w:br/>
              <w:t>67,20</w:t>
            </w:r>
            <w:r w:rsidRPr="00A4614F">
              <w:rPr>
                <w:rFonts w:ascii="Times New Roman" w:eastAsia="Times New Roman" w:hAnsi="Times New Roman" w:cs="Times New Roman"/>
                <w:sz w:val="18"/>
                <w:szCs w:val="18"/>
                <w:lang w:eastAsia="ru-RU"/>
              </w:rPr>
              <w:br/>
              <w:t>71,01</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2,03</w:t>
            </w:r>
            <w:r w:rsidRPr="00A4614F">
              <w:rPr>
                <w:rFonts w:ascii="Times New Roman" w:eastAsia="Times New Roman" w:hAnsi="Times New Roman" w:cs="Times New Roman"/>
                <w:sz w:val="18"/>
                <w:szCs w:val="18"/>
                <w:lang w:eastAsia="ru-RU"/>
              </w:rPr>
              <w:br/>
              <w:t>5,45</w:t>
            </w:r>
            <w:r w:rsidRPr="00A4614F">
              <w:rPr>
                <w:rFonts w:ascii="Times New Roman" w:eastAsia="Times New Roman" w:hAnsi="Times New Roman" w:cs="Times New Roman"/>
                <w:sz w:val="18"/>
                <w:szCs w:val="18"/>
                <w:lang w:eastAsia="ru-RU"/>
              </w:rPr>
              <w:br/>
              <w:t>8,65</w:t>
            </w:r>
            <w:r w:rsidRPr="00A4614F">
              <w:rPr>
                <w:rFonts w:ascii="Times New Roman" w:eastAsia="Times New Roman" w:hAnsi="Times New Roman" w:cs="Times New Roman"/>
                <w:sz w:val="18"/>
                <w:szCs w:val="18"/>
                <w:lang w:eastAsia="ru-RU"/>
              </w:rPr>
              <w:br/>
              <w:t>11,95</w:t>
            </w:r>
            <w:r w:rsidRPr="00A4614F">
              <w:rPr>
                <w:rFonts w:ascii="Times New Roman" w:eastAsia="Times New Roman" w:hAnsi="Times New Roman" w:cs="Times New Roman"/>
                <w:sz w:val="18"/>
                <w:szCs w:val="18"/>
                <w:lang w:eastAsia="ru-RU"/>
              </w:rPr>
              <w:br/>
              <w:t>15,15</w:t>
            </w:r>
            <w:r w:rsidRPr="00A4614F">
              <w:rPr>
                <w:rFonts w:ascii="Times New Roman" w:eastAsia="Times New Roman" w:hAnsi="Times New Roman" w:cs="Times New Roman"/>
                <w:sz w:val="18"/>
                <w:szCs w:val="18"/>
                <w:lang w:eastAsia="ru-RU"/>
              </w:rPr>
              <w:br/>
              <w:t>18,40</w:t>
            </w:r>
            <w:r w:rsidRPr="00A4614F">
              <w:rPr>
                <w:rFonts w:ascii="Times New Roman" w:eastAsia="Times New Roman" w:hAnsi="Times New Roman" w:cs="Times New Roman"/>
                <w:sz w:val="18"/>
                <w:szCs w:val="18"/>
                <w:lang w:eastAsia="ru-RU"/>
              </w:rPr>
              <w:br/>
              <w:t>21,60</w:t>
            </w:r>
            <w:r w:rsidRPr="00A4614F">
              <w:rPr>
                <w:rFonts w:ascii="Times New Roman" w:eastAsia="Times New Roman" w:hAnsi="Times New Roman" w:cs="Times New Roman"/>
                <w:sz w:val="18"/>
                <w:szCs w:val="18"/>
                <w:lang w:eastAsia="ru-RU"/>
              </w:rPr>
              <w:br/>
              <w:t>25,00</w:t>
            </w:r>
            <w:r w:rsidRPr="00A4614F">
              <w:rPr>
                <w:rFonts w:ascii="Times New Roman" w:eastAsia="Times New Roman" w:hAnsi="Times New Roman" w:cs="Times New Roman"/>
                <w:sz w:val="18"/>
                <w:szCs w:val="18"/>
                <w:lang w:eastAsia="ru-RU"/>
              </w:rPr>
              <w:br/>
              <w:t>28,40</w:t>
            </w:r>
            <w:r w:rsidRPr="00A4614F">
              <w:rPr>
                <w:rFonts w:ascii="Times New Roman" w:eastAsia="Times New Roman" w:hAnsi="Times New Roman" w:cs="Times New Roman"/>
                <w:sz w:val="18"/>
                <w:szCs w:val="18"/>
                <w:lang w:eastAsia="ru-RU"/>
              </w:rPr>
              <w:br/>
              <w:t>31,70</w:t>
            </w:r>
            <w:r w:rsidRPr="00A4614F">
              <w:rPr>
                <w:rFonts w:ascii="Times New Roman" w:eastAsia="Times New Roman" w:hAnsi="Times New Roman" w:cs="Times New Roman"/>
                <w:sz w:val="18"/>
                <w:szCs w:val="18"/>
                <w:lang w:eastAsia="ru-RU"/>
              </w:rPr>
              <w:br/>
              <w:t>35,20</w:t>
            </w:r>
            <w:r w:rsidRPr="00A4614F">
              <w:rPr>
                <w:rFonts w:ascii="Times New Roman" w:eastAsia="Times New Roman" w:hAnsi="Times New Roman" w:cs="Times New Roman"/>
                <w:sz w:val="18"/>
                <w:szCs w:val="18"/>
                <w:lang w:eastAsia="ru-RU"/>
              </w:rPr>
              <w:br/>
              <w:t>38,60</w:t>
            </w:r>
            <w:r w:rsidRPr="00A4614F">
              <w:rPr>
                <w:rFonts w:ascii="Times New Roman" w:eastAsia="Times New Roman" w:hAnsi="Times New Roman" w:cs="Times New Roman"/>
                <w:sz w:val="18"/>
                <w:szCs w:val="18"/>
                <w:lang w:eastAsia="ru-RU"/>
              </w:rPr>
              <w:br/>
              <w:t>42,20</w:t>
            </w:r>
            <w:r w:rsidRPr="00A4614F">
              <w:rPr>
                <w:rFonts w:ascii="Times New Roman" w:eastAsia="Times New Roman" w:hAnsi="Times New Roman" w:cs="Times New Roman"/>
                <w:sz w:val="18"/>
                <w:szCs w:val="18"/>
                <w:lang w:eastAsia="ru-RU"/>
              </w:rPr>
              <w:br/>
              <w:t>45,70</w:t>
            </w:r>
            <w:r w:rsidRPr="00A4614F">
              <w:rPr>
                <w:rFonts w:ascii="Times New Roman" w:eastAsia="Times New Roman" w:hAnsi="Times New Roman" w:cs="Times New Roman"/>
                <w:sz w:val="18"/>
                <w:szCs w:val="18"/>
                <w:lang w:eastAsia="ru-RU"/>
              </w:rPr>
              <w:br/>
              <w:t>49,30</w:t>
            </w:r>
            <w:r w:rsidRPr="00A4614F">
              <w:rPr>
                <w:rFonts w:ascii="Times New Roman" w:eastAsia="Times New Roman" w:hAnsi="Times New Roman" w:cs="Times New Roman"/>
                <w:sz w:val="18"/>
                <w:szCs w:val="18"/>
                <w:lang w:eastAsia="ru-RU"/>
              </w:rPr>
              <w:br/>
              <w:t>52,90</w:t>
            </w:r>
            <w:r w:rsidRPr="00A4614F">
              <w:rPr>
                <w:rFonts w:ascii="Times New Roman" w:eastAsia="Times New Roman" w:hAnsi="Times New Roman" w:cs="Times New Roman"/>
                <w:sz w:val="18"/>
                <w:szCs w:val="18"/>
                <w:lang w:eastAsia="ru-RU"/>
              </w:rPr>
              <w:br/>
              <w:t>56,60</w:t>
            </w:r>
            <w:r w:rsidRPr="00A4614F">
              <w:rPr>
                <w:rFonts w:ascii="Times New Roman" w:eastAsia="Times New Roman" w:hAnsi="Times New Roman" w:cs="Times New Roman"/>
                <w:sz w:val="18"/>
                <w:szCs w:val="18"/>
                <w:lang w:eastAsia="ru-RU"/>
              </w:rPr>
              <w:br/>
              <w:t>60,10</w:t>
            </w:r>
            <w:r w:rsidRPr="00A4614F">
              <w:rPr>
                <w:rFonts w:ascii="Times New Roman" w:eastAsia="Times New Roman" w:hAnsi="Times New Roman" w:cs="Times New Roman"/>
                <w:sz w:val="18"/>
                <w:szCs w:val="18"/>
                <w:lang w:eastAsia="ru-RU"/>
              </w:rPr>
              <w:br/>
              <w:t>63,82</w:t>
            </w:r>
            <w:r w:rsidRPr="00A4614F">
              <w:rPr>
                <w:rFonts w:ascii="Times New Roman" w:eastAsia="Times New Roman" w:hAnsi="Times New Roman" w:cs="Times New Roman"/>
                <w:sz w:val="18"/>
                <w:szCs w:val="18"/>
                <w:lang w:eastAsia="ru-RU"/>
              </w:rPr>
              <w:br/>
              <w:t>67,54</w:t>
            </w:r>
            <w:r w:rsidRPr="00A4614F">
              <w:rPr>
                <w:rFonts w:ascii="Times New Roman" w:eastAsia="Times New Roman" w:hAnsi="Times New Roman" w:cs="Times New Roman"/>
                <w:sz w:val="18"/>
                <w:szCs w:val="18"/>
                <w:lang w:eastAsia="ru-RU"/>
              </w:rPr>
              <w:br/>
              <w:t>71,37</w:t>
            </w:r>
          </w:p>
        </w:tc>
        <w:tc>
          <w:tcPr>
            <w:tcW w:w="54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2,60</w:t>
            </w:r>
            <w:r w:rsidRPr="00A4614F">
              <w:rPr>
                <w:rFonts w:ascii="Times New Roman" w:eastAsia="Times New Roman" w:hAnsi="Times New Roman" w:cs="Times New Roman"/>
                <w:sz w:val="18"/>
                <w:szCs w:val="18"/>
                <w:lang w:eastAsia="ru-RU"/>
              </w:rPr>
              <w:br/>
              <w:t>5,75</w:t>
            </w:r>
            <w:r w:rsidRPr="00A4614F">
              <w:rPr>
                <w:rFonts w:ascii="Times New Roman" w:eastAsia="Times New Roman" w:hAnsi="Times New Roman" w:cs="Times New Roman"/>
                <w:sz w:val="18"/>
                <w:szCs w:val="18"/>
                <w:lang w:eastAsia="ru-RU"/>
              </w:rPr>
              <w:br/>
              <w:t>8,95</w:t>
            </w:r>
            <w:r w:rsidRPr="00A4614F">
              <w:rPr>
                <w:rFonts w:ascii="Times New Roman" w:eastAsia="Times New Roman" w:hAnsi="Times New Roman" w:cs="Times New Roman"/>
                <w:sz w:val="18"/>
                <w:szCs w:val="18"/>
                <w:lang w:eastAsia="ru-RU"/>
              </w:rPr>
              <w:br/>
              <w:t>12,30</w:t>
            </w:r>
            <w:r w:rsidRPr="00A4614F">
              <w:rPr>
                <w:rFonts w:ascii="Times New Roman" w:eastAsia="Times New Roman" w:hAnsi="Times New Roman" w:cs="Times New Roman"/>
                <w:sz w:val="18"/>
                <w:szCs w:val="18"/>
                <w:lang w:eastAsia="ru-RU"/>
              </w:rPr>
              <w:br/>
              <w:t>15,45</w:t>
            </w:r>
            <w:r w:rsidRPr="00A4614F">
              <w:rPr>
                <w:rFonts w:ascii="Times New Roman" w:eastAsia="Times New Roman" w:hAnsi="Times New Roman" w:cs="Times New Roman"/>
                <w:sz w:val="18"/>
                <w:szCs w:val="18"/>
                <w:lang w:eastAsia="ru-RU"/>
              </w:rPr>
              <w:br/>
              <w:t>18,75</w:t>
            </w:r>
            <w:r w:rsidRPr="00A4614F">
              <w:rPr>
                <w:rFonts w:ascii="Times New Roman" w:eastAsia="Times New Roman" w:hAnsi="Times New Roman" w:cs="Times New Roman"/>
                <w:sz w:val="18"/>
                <w:szCs w:val="18"/>
                <w:lang w:eastAsia="ru-RU"/>
              </w:rPr>
              <w:br/>
              <w:t>22,00</w:t>
            </w:r>
            <w:r w:rsidRPr="00A4614F">
              <w:rPr>
                <w:rFonts w:ascii="Times New Roman" w:eastAsia="Times New Roman" w:hAnsi="Times New Roman" w:cs="Times New Roman"/>
                <w:sz w:val="18"/>
                <w:szCs w:val="18"/>
                <w:lang w:eastAsia="ru-RU"/>
              </w:rPr>
              <w:br/>
              <w:t>25,30</w:t>
            </w:r>
            <w:r w:rsidRPr="00A4614F">
              <w:rPr>
                <w:rFonts w:ascii="Times New Roman" w:eastAsia="Times New Roman" w:hAnsi="Times New Roman" w:cs="Times New Roman"/>
                <w:sz w:val="18"/>
                <w:szCs w:val="18"/>
                <w:lang w:eastAsia="ru-RU"/>
              </w:rPr>
              <w:br/>
              <w:t>28,70</w:t>
            </w:r>
            <w:r w:rsidRPr="00A4614F">
              <w:rPr>
                <w:rFonts w:ascii="Times New Roman" w:eastAsia="Times New Roman" w:hAnsi="Times New Roman" w:cs="Times New Roman"/>
                <w:sz w:val="18"/>
                <w:szCs w:val="18"/>
                <w:lang w:eastAsia="ru-RU"/>
              </w:rPr>
              <w:br/>
              <w:t>32,10</w:t>
            </w:r>
            <w:r w:rsidRPr="00A4614F">
              <w:rPr>
                <w:rFonts w:ascii="Times New Roman" w:eastAsia="Times New Roman" w:hAnsi="Times New Roman" w:cs="Times New Roman"/>
                <w:sz w:val="18"/>
                <w:szCs w:val="18"/>
                <w:lang w:eastAsia="ru-RU"/>
              </w:rPr>
              <w:br/>
              <w:t>35,70</w:t>
            </w:r>
            <w:r w:rsidRPr="00A4614F">
              <w:rPr>
                <w:rFonts w:ascii="Times New Roman" w:eastAsia="Times New Roman" w:hAnsi="Times New Roman" w:cs="Times New Roman"/>
                <w:sz w:val="18"/>
                <w:szCs w:val="18"/>
                <w:lang w:eastAsia="ru-RU"/>
              </w:rPr>
              <w:br/>
              <w:t>39,00</w:t>
            </w:r>
            <w:r w:rsidRPr="00A4614F">
              <w:rPr>
                <w:rFonts w:ascii="Times New Roman" w:eastAsia="Times New Roman" w:hAnsi="Times New Roman" w:cs="Times New Roman"/>
                <w:sz w:val="18"/>
                <w:szCs w:val="18"/>
                <w:lang w:eastAsia="ru-RU"/>
              </w:rPr>
              <w:br/>
              <w:t>42,50</w:t>
            </w:r>
            <w:r w:rsidRPr="00A4614F">
              <w:rPr>
                <w:rFonts w:ascii="Times New Roman" w:eastAsia="Times New Roman" w:hAnsi="Times New Roman" w:cs="Times New Roman"/>
                <w:sz w:val="18"/>
                <w:szCs w:val="18"/>
                <w:lang w:eastAsia="ru-RU"/>
              </w:rPr>
              <w:br/>
              <w:t>46,10</w:t>
            </w:r>
            <w:r w:rsidRPr="00A4614F">
              <w:rPr>
                <w:rFonts w:ascii="Times New Roman" w:eastAsia="Times New Roman" w:hAnsi="Times New Roman" w:cs="Times New Roman"/>
                <w:sz w:val="18"/>
                <w:szCs w:val="18"/>
                <w:lang w:eastAsia="ru-RU"/>
              </w:rPr>
              <w:br/>
              <w:t>49,60</w:t>
            </w:r>
            <w:r w:rsidRPr="00A4614F">
              <w:rPr>
                <w:rFonts w:ascii="Times New Roman" w:eastAsia="Times New Roman" w:hAnsi="Times New Roman" w:cs="Times New Roman"/>
                <w:sz w:val="18"/>
                <w:szCs w:val="18"/>
                <w:lang w:eastAsia="ru-RU"/>
              </w:rPr>
              <w:br/>
              <w:t>53,20</w:t>
            </w:r>
            <w:r w:rsidRPr="00A4614F">
              <w:rPr>
                <w:rFonts w:ascii="Times New Roman" w:eastAsia="Times New Roman" w:hAnsi="Times New Roman" w:cs="Times New Roman"/>
                <w:sz w:val="18"/>
                <w:szCs w:val="18"/>
                <w:lang w:eastAsia="ru-RU"/>
              </w:rPr>
              <w:br/>
              <w:t>56,90</w:t>
            </w:r>
            <w:r w:rsidRPr="00A4614F">
              <w:rPr>
                <w:rFonts w:ascii="Times New Roman" w:eastAsia="Times New Roman" w:hAnsi="Times New Roman" w:cs="Times New Roman"/>
                <w:sz w:val="18"/>
                <w:szCs w:val="18"/>
                <w:lang w:eastAsia="ru-RU"/>
              </w:rPr>
              <w:br/>
              <w:t>60,50</w:t>
            </w:r>
            <w:r w:rsidRPr="00A4614F">
              <w:rPr>
                <w:rFonts w:ascii="Times New Roman" w:eastAsia="Times New Roman" w:hAnsi="Times New Roman" w:cs="Times New Roman"/>
                <w:sz w:val="18"/>
                <w:szCs w:val="18"/>
                <w:lang w:eastAsia="ru-RU"/>
              </w:rPr>
              <w:br/>
              <w:t>64,20</w:t>
            </w:r>
            <w:r w:rsidRPr="00A4614F">
              <w:rPr>
                <w:rFonts w:ascii="Times New Roman" w:eastAsia="Times New Roman" w:hAnsi="Times New Roman" w:cs="Times New Roman"/>
                <w:sz w:val="18"/>
                <w:szCs w:val="18"/>
                <w:lang w:eastAsia="ru-RU"/>
              </w:rPr>
              <w:br/>
              <w:t>67,90</w:t>
            </w:r>
            <w:r w:rsidRPr="00A4614F">
              <w:rPr>
                <w:rFonts w:ascii="Times New Roman" w:eastAsia="Times New Roman" w:hAnsi="Times New Roman" w:cs="Times New Roman"/>
                <w:sz w:val="18"/>
                <w:szCs w:val="18"/>
                <w:lang w:eastAsia="ru-RU"/>
              </w:rPr>
              <w:br/>
              <w:t>71,80</w:t>
            </w:r>
          </w:p>
        </w:tc>
      </w:tr>
    </w:tbl>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 </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3. Методика определения образования высолов на поверхности арболита</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1. Из арболита с максимальным, средним и минимальным количеством химической добавки, выбранной для изготовления конструкций, изготовляются по три образца-близнеца размерами 10*10*30 или 15*15*45 см. После выдерживания при температуре 20 ±2 °C в относительной влажности воздуха 70±10% в течение 28 сут образцы погружаются торцом в ванну с водой на 3–5 см, причем образцы каждой серии помещаются в различные ванны. Наружная поверхность образцов обдувается воздухом с температурой 20–30 °С.</w:t>
      </w:r>
      <w:r w:rsidRPr="00A4614F">
        <w:rPr>
          <w:rFonts w:ascii="Verdana" w:eastAsia="Times New Roman" w:hAnsi="Verdana" w:cs="Times New Roman"/>
          <w:color w:val="333333"/>
          <w:sz w:val="18"/>
          <w:szCs w:val="18"/>
          <w:lang w:eastAsia="ru-RU"/>
        </w:rPr>
        <w:br/>
        <w:t>2. В процессе испытания производится периодический осмотр поверхности призм. Наличие высолов отмечается визуально по появлению выцветов или налету соли. Отсутствие последних в течение 7 сут свидетельствует о возможности применения данного количества добавки в арболите. Появление высолов на поверхности образцов свидетельствуют об избытке химической добавки.</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Приложение 2</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Дозирование материалов для приготовления арболита</w:t>
      </w:r>
      <w:r w:rsidRPr="00A4614F">
        <w:rPr>
          <w:rFonts w:ascii="Verdana" w:eastAsia="Times New Roman" w:hAnsi="Verdana" w:cs="Times New Roman"/>
          <w:color w:val="333333"/>
          <w:sz w:val="18"/>
          <w:szCs w:val="18"/>
          <w:lang w:eastAsia="ru-RU"/>
        </w:rPr>
        <w:br/>
        <w:t>Древесную дробленку для арболитовой смеси необходимо дозировать в объемно-весовом дозаторе. Рекомендуемые схемы приведены на рис. 6.</w:t>
      </w:r>
      <w:r w:rsidRPr="00A4614F">
        <w:rPr>
          <w:rFonts w:ascii="Verdana" w:eastAsia="Times New Roman" w:hAnsi="Verdana" w:cs="Times New Roman"/>
          <w:color w:val="333333"/>
          <w:sz w:val="18"/>
          <w:szCs w:val="18"/>
          <w:lang w:eastAsia="ru-RU"/>
        </w:rPr>
        <w:br/>
      </w:r>
      <w:r>
        <w:rPr>
          <w:rFonts w:ascii="Verdana" w:eastAsia="Times New Roman" w:hAnsi="Verdana" w:cs="Times New Roman"/>
          <w:noProof/>
          <w:color w:val="333333"/>
          <w:sz w:val="18"/>
          <w:szCs w:val="18"/>
          <w:lang w:eastAsia="ru-RU"/>
        </w:rPr>
        <w:lastRenderedPageBreak/>
        <w:drawing>
          <wp:inline distT="0" distB="0" distL="0" distR="0">
            <wp:extent cx="3981450" cy="2476500"/>
            <wp:effectExtent l="0" t="0" r="0" b="0"/>
            <wp:docPr id="47" name="Рисунок 47" descr="блоки из арб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блоки из арболита"/>
                    <pic:cNvPicPr>
                      <a:picLocks noChangeAspect="1" noChangeArrowheads="1"/>
                    </pic:cNvPicPr>
                  </pic:nvPicPr>
                  <pic:blipFill>
                    <a:blip r:embed="rId6"/>
                    <a:srcRect/>
                    <a:stretch>
                      <a:fillRect/>
                    </a:stretch>
                  </pic:blipFill>
                  <pic:spPr bwMode="auto">
                    <a:xfrm>
                      <a:off x="0" y="0"/>
                      <a:ext cx="3981450" cy="2476500"/>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br/>
        <w:t>Для установления объема дозатора необходимо производить его предварительную тарировку. С этой целью во время загрузки его по циферблату фиксируют массу отдозированного по объему материала и отбирают усредненную пробу объемом не менее 20 л, составленную из отдельных проб, отобранных во время заполнения дозатора. Проверяют насыпную плотность отобранной пробы. Произведя деление величины зафиксированной массы заполнителя в дозаторе на величину насыпной плотности отобранной пробы, определяют объем дозатора. Среднее значение объема дозатора вычисляют по 20-25 навескам.</w:t>
      </w:r>
      <w:r w:rsidRPr="00A4614F">
        <w:rPr>
          <w:rFonts w:ascii="Verdana" w:eastAsia="Times New Roman" w:hAnsi="Verdana" w:cs="Times New Roman"/>
          <w:color w:val="333333"/>
          <w:sz w:val="18"/>
          <w:szCs w:val="18"/>
          <w:lang w:eastAsia="ru-RU"/>
        </w:rPr>
        <w:br/>
        <w:t>По найденному объему дозатора (</w:t>
      </w:r>
      <w:r w:rsidRPr="00A4614F">
        <w:rPr>
          <w:rFonts w:ascii="Verdana" w:eastAsia="Times New Roman" w:hAnsi="Verdana" w:cs="Times New Roman"/>
          <w:i/>
          <w:iCs/>
          <w:color w:val="333333"/>
          <w:sz w:val="18"/>
          <w:lang w:eastAsia="ru-RU"/>
        </w:rPr>
        <w:t>V</w:t>
      </w:r>
      <w:r w:rsidRPr="00A4614F">
        <w:rPr>
          <w:rFonts w:ascii="Verdana" w:eastAsia="Times New Roman" w:hAnsi="Verdana" w:cs="Times New Roman"/>
          <w:color w:val="333333"/>
          <w:sz w:val="18"/>
          <w:szCs w:val="18"/>
          <w:lang w:eastAsia="ru-RU"/>
        </w:rPr>
        <w:t>доз) и принятому расходу древесной дробленки на 1 м3 арболита (</w:t>
      </w:r>
      <w:r w:rsidRPr="00A4614F">
        <w:rPr>
          <w:rFonts w:ascii="Verdana" w:eastAsia="Times New Roman" w:hAnsi="Verdana" w:cs="Times New Roman"/>
          <w:i/>
          <w:iCs/>
          <w:color w:val="333333"/>
          <w:sz w:val="18"/>
          <w:lang w:eastAsia="ru-RU"/>
        </w:rPr>
        <w:t>V</w:t>
      </w:r>
      <w:r w:rsidRPr="00A4614F">
        <w:rPr>
          <w:rFonts w:ascii="Verdana" w:eastAsia="Times New Roman" w:hAnsi="Verdana" w:cs="Times New Roman"/>
          <w:color w:val="333333"/>
          <w:sz w:val="18"/>
          <w:szCs w:val="18"/>
          <w:lang w:eastAsia="ru-RU"/>
        </w:rPr>
        <w:t>к) устанавливают объем приготовленного замеса по формуле</w:t>
      </w:r>
      <w:r w:rsidRPr="00A4614F">
        <w:rPr>
          <w:rFonts w:ascii="Verdana" w:eastAsia="Times New Roman" w:hAnsi="Verdana" w:cs="Times New Roman"/>
          <w:color w:val="333333"/>
          <w:sz w:val="18"/>
          <w:lang w:eastAsia="ru-RU"/>
        </w:rPr>
        <w:t> </w:t>
      </w:r>
      <w:r>
        <w:rPr>
          <w:rFonts w:ascii="Verdana" w:eastAsia="Times New Roman" w:hAnsi="Verdana" w:cs="Times New Roman"/>
          <w:noProof/>
          <w:color w:val="333333"/>
          <w:sz w:val="18"/>
          <w:szCs w:val="18"/>
          <w:lang w:eastAsia="ru-RU"/>
        </w:rPr>
        <w:drawing>
          <wp:inline distT="0" distB="0" distL="0" distR="0">
            <wp:extent cx="457200" cy="314325"/>
            <wp:effectExtent l="19050" t="0" r="0" b="0"/>
            <wp:docPr id="48" name="Рисунок 48" descr="http://www.arbolit.net/images/snip/snip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rbolit.net/images/snip/snip34.gif"/>
                    <pic:cNvPicPr>
                      <a:picLocks noChangeAspect="1" noChangeArrowheads="1"/>
                    </pic:cNvPicPr>
                  </pic:nvPicPr>
                  <pic:blipFill>
                    <a:blip r:embed="rId6"/>
                    <a:srcRect/>
                    <a:stretch>
                      <a:fillRect/>
                    </a:stretch>
                  </pic:blipFill>
                  <pic:spPr bwMode="auto">
                    <a:xfrm>
                      <a:off x="0" y="0"/>
                      <a:ext cx="457200" cy="314325"/>
                    </a:xfrm>
                    <a:prstGeom prst="rect">
                      <a:avLst/>
                    </a:prstGeom>
                    <a:noFill/>
                    <a:ln w="9525">
                      <a:noFill/>
                      <a:miter lim="800000"/>
                      <a:headEnd/>
                      <a:tailEnd/>
                    </a:ln>
                  </pic:spPr>
                </pic:pic>
              </a:graphicData>
            </a:graphic>
          </wp:inline>
        </w:drawing>
      </w:r>
      <w:r w:rsidRPr="00A4614F">
        <w:rPr>
          <w:rFonts w:ascii="Verdana" w:eastAsia="Times New Roman" w:hAnsi="Verdana" w:cs="Times New Roman"/>
          <w:color w:val="333333"/>
          <w:sz w:val="18"/>
          <w:szCs w:val="18"/>
          <w:lang w:eastAsia="ru-RU"/>
        </w:rPr>
        <w:t> и далее рассчитывают расход отдельных материалов на замес.</w:t>
      </w:r>
      <w:r w:rsidRPr="00A4614F">
        <w:rPr>
          <w:rFonts w:ascii="Verdana" w:eastAsia="Times New Roman" w:hAnsi="Verdana" w:cs="Times New Roman"/>
          <w:color w:val="333333"/>
          <w:sz w:val="18"/>
          <w:szCs w:val="18"/>
          <w:lang w:eastAsia="ru-RU"/>
        </w:rPr>
        <w:br/>
        <w:t>Воду и растворы химических добавок дозируют автоматическими объемными или весовыми дозаторами. При этом допускается химические добавки дозировать весовым дозатором воды.</w:t>
      </w:r>
      <w:r w:rsidRPr="00A4614F">
        <w:rPr>
          <w:rFonts w:ascii="Verdana" w:eastAsia="Times New Roman" w:hAnsi="Verdana" w:cs="Times New Roman"/>
          <w:color w:val="333333"/>
          <w:sz w:val="18"/>
          <w:szCs w:val="18"/>
          <w:lang w:eastAsia="ru-RU"/>
        </w:rPr>
        <w:br/>
        <w:t>При назначении дозировки воды и заполнителей следует учитывать влажность дробленки и вносить соответствующие поправки на расход воды и заполнителя на основе таблиц объемно-весового дозирования.</w:t>
      </w:r>
      <w:r w:rsidRPr="00A4614F">
        <w:rPr>
          <w:rFonts w:ascii="Verdana" w:eastAsia="Times New Roman" w:hAnsi="Verdana" w:cs="Times New Roman"/>
          <w:color w:val="333333"/>
          <w:sz w:val="18"/>
          <w:szCs w:val="18"/>
          <w:lang w:eastAsia="ru-RU"/>
        </w:rPr>
        <w:br/>
        <w:t>В табл. 11 приведен расход материалов на один замес арболитовой смеси.</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1"/>
        <w:gridCol w:w="2024"/>
        <w:gridCol w:w="899"/>
        <w:gridCol w:w="749"/>
        <w:gridCol w:w="696"/>
      </w:tblGrid>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center"/>
              <w:rPr>
                <w:rFonts w:ascii="Times New Roman" w:eastAsia="Times New Roman" w:hAnsi="Times New Roman" w:cs="Times New Roman"/>
                <w:sz w:val="24"/>
                <w:szCs w:val="24"/>
                <w:lang w:eastAsia="ru-RU"/>
              </w:rPr>
            </w:pPr>
            <w:r w:rsidRPr="00A4614F">
              <w:rPr>
                <w:rFonts w:ascii="Times New Roman" w:eastAsia="Times New Roman" w:hAnsi="Times New Roman" w:cs="Times New Roman"/>
                <w:sz w:val="24"/>
                <w:szCs w:val="24"/>
                <w:lang w:eastAsia="ru-RU"/>
              </w:rPr>
              <w:t>Масса древесной дробленки в дозаторе, кг</w:t>
            </w:r>
          </w:p>
        </w:tc>
        <w:tc>
          <w:tcPr>
            <w:tcW w:w="19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Влажность дробления, % по массе</w:t>
            </w:r>
          </w:p>
        </w:tc>
        <w:tc>
          <w:tcPr>
            <w:tcW w:w="0" w:type="auto"/>
            <w:gridSpan w:val="3"/>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Расход на замес, кг</w:t>
            </w:r>
          </w:p>
        </w:tc>
      </w:tr>
      <w:tr w:rsidR="00A4614F" w:rsidRPr="00A4614F" w:rsidTr="00A4614F">
        <w:trPr>
          <w:tblCellSpacing w:w="22" w:type="dxa"/>
          <w:jc w:val="center"/>
        </w:trPr>
        <w:tc>
          <w:tcPr>
            <w:tcW w:w="20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цемента</w:t>
            </w:r>
          </w:p>
        </w:tc>
        <w:tc>
          <w:tcPr>
            <w:tcW w:w="70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СаСl2</w:t>
            </w:r>
          </w:p>
        </w:tc>
        <w:tc>
          <w:tcPr>
            <w:tcW w:w="6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воды</w:t>
            </w:r>
          </w:p>
        </w:tc>
      </w:tr>
      <w:tr w:rsidR="00A4614F" w:rsidRPr="00A4614F" w:rsidTr="00A4614F">
        <w:trPr>
          <w:tblCellSpacing w:w="22" w:type="dxa"/>
          <w:jc w:val="center"/>
        </w:trPr>
        <w:tc>
          <w:tcPr>
            <w:tcW w:w="20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120</w:t>
            </w:r>
            <w:r w:rsidRPr="00A4614F">
              <w:rPr>
                <w:rFonts w:ascii="Times New Roman" w:eastAsia="Times New Roman" w:hAnsi="Times New Roman" w:cs="Times New Roman"/>
                <w:sz w:val="18"/>
                <w:szCs w:val="18"/>
                <w:lang w:eastAsia="ru-RU"/>
              </w:rPr>
              <w:br/>
              <w:t>126</w:t>
            </w:r>
            <w:r w:rsidRPr="00A4614F">
              <w:rPr>
                <w:rFonts w:ascii="Times New Roman" w:eastAsia="Times New Roman" w:hAnsi="Times New Roman" w:cs="Times New Roman"/>
                <w:sz w:val="18"/>
                <w:szCs w:val="18"/>
                <w:lang w:eastAsia="ru-RU"/>
              </w:rPr>
              <w:br/>
              <w:t>132</w:t>
            </w:r>
            <w:r w:rsidRPr="00A4614F">
              <w:rPr>
                <w:rFonts w:ascii="Times New Roman" w:eastAsia="Times New Roman" w:hAnsi="Times New Roman" w:cs="Times New Roman"/>
                <w:sz w:val="18"/>
                <w:szCs w:val="18"/>
                <w:lang w:eastAsia="ru-RU"/>
              </w:rPr>
              <w:br/>
              <w:t>138</w:t>
            </w:r>
            <w:r w:rsidRPr="00A4614F">
              <w:rPr>
                <w:rFonts w:ascii="Times New Roman" w:eastAsia="Times New Roman" w:hAnsi="Times New Roman" w:cs="Times New Roman"/>
                <w:sz w:val="18"/>
                <w:szCs w:val="18"/>
                <w:lang w:eastAsia="ru-RU"/>
              </w:rPr>
              <w:br/>
              <w:t>144</w:t>
            </w:r>
            <w:r w:rsidRPr="00A4614F">
              <w:rPr>
                <w:rFonts w:ascii="Times New Roman" w:eastAsia="Times New Roman" w:hAnsi="Times New Roman" w:cs="Times New Roman"/>
                <w:sz w:val="18"/>
                <w:szCs w:val="18"/>
                <w:lang w:eastAsia="ru-RU"/>
              </w:rPr>
              <w:br/>
              <w:t>150</w:t>
            </w:r>
            <w:r w:rsidRPr="00A4614F">
              <w:rPr>
                <w:rFonts w:ascii="Times New Roman" w:eastAsia="Times New Roman" w:hAnsi="Times New Roman" w:cs="Times New Roman"/>
                <w:sz w:val="18"/>
                <w:szCs w:val="18"/>
                <w:lang w:eastAsia="ru-RU"/>
              </w:rPr>
              <w:br/>
              <w:t>156</w:t>
            </w:r>
            <w:r w:rsidRPr="00A4614F">
              <w:rPr>
                <w:rFonts w:ascii="Times New Roman" w:eastAsia="Times New Roman" w:hAnsi="Times New Roman" w:cs="Times New Roman"/>
                <w:sz w:val="18"/>
                <w:szCs w:val="18"/>
                <w:lang w:eastAsia="ru-RU"/>
              </w:rPr>
              <w:br/>
              <w:t>162</w:t>
            </w:r>
            <w:r w:rsidRPr="00A4614F">
              <w:rPr>
                <w:rFonts w:ascii="Times New Roman" w:eastAsia="Times New Roman" w:hAnsi="Times New Roman" w:cs="Times New Roman"/>
                <w:sz w:val="18"/>
                <w:szCs w:val="18"/>
                <w:lang w:eastAsia="ru-RU"/>
              </w:rPr>
              <w:br/>
              <w:t>168</w:t>
            </w:r>
            <w:r w:rsidRPr="00A4614F">
              <w:rPr>
                <w:rFonts w:ascii="Times New Roman" w:eastAsia="Times New Roman" w:hAnsi="Times New Roman" w:cs="Times New Roman"/>
                <w:sz w:val="18"/>
                <w:szCs w:val="18"/>
                <w:lang w:eastAsia="ru-RU"/>
              </w:rPr>
              <w:br/>
              <w:t>174</w:t>
            </w:r>
            <w:r w:rsidRPr="00A4614F">
              <w:rPr>
                <w:rFonts w:ascii="Times New Roman" w:eastAsia="Times New Roman" w:hAnsi="Times New Roman" w:cs="Times New Roman"/>
                <w:sz w:val="18"/>
                <w:szCs w:val="18"/>
                <w:lang w:eastAsia="ru-RU"/>
              </w:rPr>
              <w:br/>
              <w:t>180</w:t>
            </w:r>
          </w:p>
        </w:tc>
        <w:tc>
          <w:tcPr>
            <w:tcW w:w="198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0</w:t>
            </w:r>
            <w:r w:rsidRPr="00A4614F">
              <w:rPr>
                <w:rFonts w:ascii="Times New Roman" w:eastAsia="Times New Roman" w:hAnsi="Times New Roman" w:cs="Times New Roman"/>
                <w:sz w:val="18"/>
                <w:szCs w:val="18"/>
                <w:lang w:eastAsia="ru-RU"/>
              </w:rPr>
              <w:br/>
              <w:t>5</w:t>
            </w:r>
            <w:r w:rsidRPr="00A4614F">
              <w:rPr>
                <w:rFonts w:ascii="Times New Roman" w:eastAsia="Times New Roman" w:hAnsi="Times New Roman" w:cs="Times New Roman"/>
                <w:sz w:val="18"/>
                <w:szCs w:val="18"/>
                <w:lang w:eastAsia="ru-RU"/>
              </w:rPr>
              <w:br/>
              <w:t>10</w:t>
            </w:r>
            <w:r w:rsidRPr="00A4614F">
              <w:rPr>
                <w:rFonts w:ascii="Times New Roman" w:eastAsia="Times New Roman" w:hAnsi="Times New Roman" w:cs="Times New Roman"/>
                <w:sz w:val="18"/>
                <w:szCs w:val="18"/>
                <w:lang w:eastAsia="ru-RU"/>
              </w:rPr>
              <w:br/>
              <w:t>15</w:t>
            </w:r>
            <w:r w:rsidRPr="00A4614F">
              <w:rPr>
                <w:rFonts w:ascii="Times New Roman" w:eastAsia="Times New Roman" w:hAnsi="Times New Roman" w:cs="Times New Roman"/>
                <w:sz w:val="18"/>
                <w:szCs w:val="18"/>
                <w:lang w:eastAsia="ru-RU"/>
              </w:rPr>
              <w:br/>
              <w:t>20</w:t>
            </w:r>
            <w:r w:rsidRPr="00A4614F">
              <w:rPr>
                <w:rFonts w:ascii="Times New Roman" w:eastAsia="Times New Roman" w:hAnsi="Times New Roman" w:cs="Times New Roman"/>
                <w:sz w:val="18"/>
                <w:szCs w:val="18"/>
                <w:lang w:eastAsia="ru-RU"/>
              </w:rPr>
              <w:br/>
              <w:t>25</w:t>
            </w:r>
            <w:r w:rsidRPr="00A4614F">
              <w:rPr>
                <w:rFonts w:ascii="Times New Roman" w:eastAsia="Times New Roman" w:hAnsi="Times New Roman" w:cs="Times New Roman"/>
                <w:sz w:val="18"/>
                <w:szCs w:val="18"/>
                <w:lang w:eastAsia="ru-RU"/>
              </w:rPr>
              <w:br/>
              <w:t>30</w:t>
            </w:r>
            <w:r w:rsidRPr="00A4614F">
              <w:rPr>
                <w:rFonts w:ascii="Times New Roman" w:eastAsia="Times New Roman" w:hAnsi="Times New Roman" w:cs="Times New Roman"/>
                <w:sz w:val="18"/>
                <w:szCs w:val="18"/>
                <w:lang w:eastAsia="ru-RU"/>
              </w:rPr>
              <w:br/>
              <w:t>35</w:t>
            </w:r>
            <w:r w:rsidRPr="00A4614F">
              <w:rPr>
                <w:rFonts w:ascii="Times New Roman" w:eastAsia="Times New Roman" w:hAnsi="Times New Roman" w:cs="Times New Roman"/>
                <w:sz w:val="18"/>
                <w:szCs w:val="18"/>
                <w:lang w:eastAsia="ru-RU"/>
              </w:rPr>
              <w:br/>
              <w:t>40</w:t>
            </w:r>
            <w:r w:rsidRPr="00A4614F">
              <w:rPr>
                <w:rFonts w:ascii="Times New Roman" w:eastAsia="Times New Roman" w:hAnsi="Times New Roman" w:cs="Times New Roman"/>
                <w:sz w:val="18"/>
                <w:szCs w:val="18"/>
                <w:lang w:eastAsia="ru-RU"/>
              </w:rPr>
              <w:br/>
              <w:t>45</w:t>
            </w:r>
            <w:r w:rsidRPr="00A4614F">
              <w:rPr>
                <w:rFonts w:ascii="Times New Roman" w:eastAsia="Times New Roman" w:hAnsi="Times New Roman" w:cs="Times New Roman"/>
                <w:sz w:val="18"/>
                <w:szCs w:val="18"/>
                <w:lang w:eastAsia="ru-RU"/>
              </w:rPr>
              <w:br/>
              <w:t>50</w:t>
            </w:r>
          </w:p>
        </w:tc>
        <w:tc>
          <w:tcPr>
            <w:tcW w:w="8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r w:rsidRPr="00A4614F">
              <w:rPr>
                <w:rFonts w:ascii="Times New Roman" w:eastAsia="Times New Roman" w:hAnsi="Times New Roman" w:cs="Times New Roman"/>
                <w:sz w:val="18"/>
                <w:szCs w:val="18"/>
                <w:lang w:eastAsia="ru-RU"/>
              </w:rPr>
              <w:br/>
              <w:t>180</w:t>
            </w:r>
          </w:p>
        </w:tc>
        <w:tc>
          <w:tcPr>
            <w:tcW w:w="70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r w:rsidRPr="00A4614F">
              <w:rPr>
                <w:rFonts w:ascii="Times New Roman" w:eastAsia="Times New Roman" w:hAnsi="Times New Roman" w:cs="Times New Roman"/>
                <w:sz w:val="18"/>
                <w:szCs w:val="18"/>
                <w:lang w:eastAsia="ru-RU"/>
              </w:rPr>
              <w:br/>
              <w:t>33,3</w:t>
            </w:r>
          </w:p>
        </w:tc>
        <w:tc>
          <w:tcPr>
            <w:tcW w:w="6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150</w:t>
            </w:r>
            <w:r w:rsidRPr="00A4614F">
              <w:rPr>
                <w:rFonts w:ascii="Times New Roman" w:eastAsia="Times New Roman" w:hAnsi="Times New Roman" w:cs="Times New Roman"/>
                <w:sz w:val="18"/>
                <w:szCs w:val="18"/>
                <w:lang w:eastAsia="ru-RU"/>
              </w:rPr>
              <w:br/>
              <w:t>144</w:t>
            </w:r>
            <w:r w:rsidRPr="00A4614F">
              <w:rPr>
                <w:rFonts w:ascii="Times New Roman" w:eastAsia="Times New Roman" w:hAnsi="Times New Roman" w:cs="Times New Roman"/>
                <w:sz w:val="18"/>
                <w:szCs w:val="18"/>
                <w:lang w:eastAsia="ru-RU"/>
              </w:rPr>
              <w:br/>
              <w:t>138</w:t>
            </w:r>
            <w:r w:rsidRPr="00A4614F">
              <w:rPr>
                <w:rFonts w:ascii="Times New Roman" w:eastAsia="Times New Roman" w:hAnsi="Times New Roman" w:cs="Times New Roman"/>
                <w:sz w:val="18"/>
                <w:szCs w:val="18"/>
                <w:lang w:eastAsia="ru-RU"/>
              </w:rPr>
              <w:br/>
              <w:t>132</w:t>
            </w:r>
            <w:r w:rsidRPr="00A4614F">
              <w:rPr>
                <w:rFonts w:ascii="Times New Roman" w:eastAsia="Times New Roman" w:hAnsi="Times New Roman" w:cs="Times New Roman"/>
                <w:sz w:val="18"/>
                <w:szCs w:val="18"/>
                <w:lang w:eastAsia="ru-RU"/>
              </w:rPr>
              <w:br/>
              <w:t>126</w:t>
            </w:r>
            <w:r w:rsidRPr="00A4614F">
              <w:rPr>
                <w:rFonts w:ascii="Times New Roman" w:eastAsia="Times New Roman" w:hAnsi="Times New Roman" w:cs="Times New Roman"/>
                <w:sz w:val="18"/>
                <w:szCs w:val="18"/>
                <w:lang w:eastAsia="ru-RU"/>
              </w:rPr>
              <w:br/>
              <w:t>120</w:t>
            </w:r>
            <w:r w:rsidRPr="00A4614F">
              <w:rPr>
                <w:rFonts w:ascii="Times New Roman" w:eastAsia="Times New Roman" w:hAnsi="Times New Roman" w:cs="Times New Roman"/>
                <w:sz w:val="18"/>
                <w:szCs w:val="18"/>
                <w:lang w:eastAsia="ru-RU"/>
              </w:rPr>
              <w:br/>
              <w:t>114</w:t>
            </w:r>
            <w:r w:rsidRPr="00A4614F">
              <w:rPr>
                <w:rFonts w:ascii="Times New Roman" w:eastAsia="Times New Roman" w:hAnsi="Times New Roman" w:cs="Times New Roman"/>
                <w:sz w:val="18"/>
                <w:szCs w:val="18"/>
                <w:lang w:eastAsia="ru-RU"/>
              </w:rPr>
              <w:br/>
              <w:t>108</w:t>
            </w:r>
            <w:r w:rsidRPr="00A4614F">
              <w:rPr>
                <w:rFonts w:ascii="Times New Roman" w:eastAsia="Times New Roman" w:hAnsi="Times New Roman" w:cs="Times New Roman"/>
                <w:sz w:val="18"/>
                <w:szCs w:val="18"/>
                <w:lang w:eastAsia="ru-RU"/>
              </w:rPr>
              <w:br/>
              <w:t>102</w:t>
            </w:r>
            <w:r w:rsidRPr="00A4614F">
              <w:rPr>
                <w:rFonts w:ascii="Times New Roman" w:eastAsia="Times New Roman" w:hAnsi="Times New Roman" w:cs="Times New Roman"/>
                <w:sz w:val="18"/>
                <w:szCs w:val="18"/>
                <w:lang w:eastAsia="ru-RU"/>
              </w:rPr>
              <w:br/>
              <w:t>96</w:t>
            </w:r>
            <w:r w:rsidRPr="00A4614F">
              <w:rPr>
                <w:rFonts w:ascii="Times New Roman" w:eastAsia="Times New Roman" w:hAnsi="Times New Roman" w:cs="Times New Roman"/>
                <w:sz w:val="18"/>
                <w:szCs w:val="18"/>
                <w:lang w:eastAsia="ru-RU"/>
              </w:rPr>
              <w:br/>
              <w:t>90</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Примечания: 1. Раствор хлорида кальция 10% концентрации с плотностью 1,084.</w:t>
      </w:r>
      <w:r w:rsidRPr="00A4614F">
        <w:rPr>
          <w:rFonts w:ascii="Verdana" w:eastAsia="Times New Roman" w:hAnsi="Verdana" w:cs="Times New Roman"/>
          <w:color w:val="333333"/>
          <w:sz w:val="18"/>
          <w:szCs w:val="18"/>
          <w:lang w:eastAsia="ru-RU"/>
        </w:rPr>
        <w:br/>
        <w:t>2. Плотность арболитовой смеси в уплотненном состоянии 970±20 кг/м3.</w:t>
      </w:r>
      <w:r w:rsidRPr="00A4614F">
        <w:rPr>
          <w:rFonts w:ascii="Verdana" w:eastAsia="Times New Roman" w:hAnsi="Verdana" w:cs="Times New Roman"/>
          <w:color w:val="333333"/>
          <w:sz w:val="18"/>
          <w:szCs w:val="18"/>
          <w:lang w:eastAsia="ru-RU"/>
        </w:rPr>
        <w:br/>
        <w:t>Приложение 3</w:t>
      </w:r>
      <w:r w:rsidRPr="00A4614F">
        <w:rPr>
          <w:rFonts w:ascii="Verdana" w:eastAsia="Times New Roman" w:hAnsi="Verdana" w:cs="Times New Roman"/>
          <w:color w:val="333333"/>
          <w:sz w:val="18"/>
          <w:szCs w:val="18"/>
          <w:lang w:eastAsia="ru-RU"/>
        </w:rPr>
        <w:br/>
        <w:t>Пример подбора состава арболита</w:t>
      </w:r>
      <w:r w:rsidRPr="00A4614F">
        <w:rPr>
          <w:rFonts w:ascii="Verdana" w:eastAsia="Times New Roman" w:hAnsi="Verdana" w:cs="Times New Roman"/>
          <w:color w:val="333333"/>
          <w:sz w:val="18"/>
          <w:szCs w:val="18"/>
          <w:lang w:eastAsia="ru-RU"/>
        </w:rPr>
        <w:br/>
        <w:t xml:space="preserve">Требуется подобрать состав конструкционного арболита класса В2,5 плотностью не более 650 </w:t>
      </w:r>
      <w:r w:rsidRPr="00A4614F">
        <w:rPr>
          <w:rFonts w:ascii="Verdana" w:eastAsia="Times New Roman" w:hAnsi="Verdana" w:cs="Times New Roman"/>
          <w:color w:val="333333"/>
          <w:sz w:val="18"/>
          <w:szCs w:val="18"/>
          <w:lang w:eastAsia="ru-RU"/>
        </w:rPr>
        <w:lastRenderedPageBreak/>
        <w:t>кг/м3 (в высушенном состоянии) для панелей наружных стен.</w:t>
      </w:r>
      <w:r w:rsidRPr="00A4614F">
        <w:rPr>
          <w:rFonts w:ascii="Verdana" w:eastAsia="Times New Roman" w:hAnsi="Verdana" w:cs="Times New Roman"/>
          <w:color w:val="333333"/>
          <w:sz w:val="18"/>
          <w:szCs w:val="18"/>
          <w:lang w:eastAsia="ru-RU"/>
        </w:rPr>
        <w:br/>
        <w:t>Имеется дробленка из отходов деревообработки хвойных пород зернового состава, удовлетворяющего требованиям ГОСТ 19222–73. Насыпная плотность дробленки в сухом состоянии – 120 кг/м3, влажность по массе равна 50%. Вяжущее – портландцемент марки 400.</w:t>
      </w:r>
      <w:r w:rsidRPr="00A4614F">
        <w:rPr>
          <w:rFonts w:ascii="Verdana" w:eastAsia="Times New Roman" w:hAnsi="Verdana" w:cs="Times New Roman"/>
          <w:color w:val="333333"/>
          <w:sz w:val="18"/>
          <w:szCs w:val="18"/>
          <w:lang w:eastAsia="ru-RU"/>
        </w:rPr>
        <w:br/>
        <w:t>Подбор состава арболита производится расчетно-экспери</w:t>
      </w:r>
      <w:r w:rsidRPr="00A4614F">
        <w:rPr>
          <w:rFonts w:ascii="Verdana" w:eastAsia="Times New Roman" w:hAnsi="Verdana" w:cs="Times New Roman"/>
          <w:color w:val="333333"/>
          <w:sz w:val="18"/>
          <w:szCs w:val="18"/>
          <w:lang w:eastAsia="ru-RU"/>
        </w:rPr>
        <w:softHyphen/>
        <w:t>мен</w:t>
      </w:r>
      <w:r w:rsidRPr="00A4614F">
        <w:rPr>
          <w:rFonts w:ascii="Verdana" w:eastAsia="Times New Roman" w:hAnsi="Verdana" w:cs="Times New Roman"/>
          <w:color w:val="333333"/>
          <w:sz w:val="18"/>
          <w:szCs w:val="18"/>
          <w:lang w:eastAsia="ru-RU"/>
        </w:rPr>
        <w:softHyphen/>
        <w:t>тальным методом. По табл. 12–15 определяется ориентировочный расход составляющих для изготовления первого исходного замеса:</w:t>
      </w:r>
      <w:r w:rsidRPr="00A4614F">
        <w:rPr>
          <w:rFonts w:ascii="Verdana" w:eastAsia="Times New Roman" w:hAnsi="Verdana" w:cs="Times New Roman"/>
          <w:color w:val="333333"/>
          <w:sz w:val="18"/>
          <w:szCs w:val="18"/>
          <w:lang w:eastAsia="ru-RU"/>
        </w:rPr>
        <w:br/>
        <w:t>по табл. 12 расход цемента составляет 330 кг/м3,</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80"/>
        <w:gridCol w:w="1142"/>
        <w:gridCol w:w="1165"/>
        <w:gridCol w:w="1141"/>
        <w:gridCol w:w="1141"/>
        <w:gridCol w:w="1141"/>
        <w:gridCol w:w="1163"/>
      </w:tblGrid>
      <w:tr w:rsidR="00A4614F" w:rsidRPr="00A4614F" w:rsidTr="00A4614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Вид</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заполнителя</w:t>
            </w:r>
          </w:p>
        </w:tc>
        <w:tc>
          <w:tcPr>
            <w:tcW w:w="0" w:type="auto"/>
            <w:gridSpan w:val="6"/>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Ориентировочный расход портландцемента марки М 400 на 1 м3 арболита, кг, в зависимости от его класса</w:t>
            </w:r>
          </w:p>
        </w:tc>
      </w:tr>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Дробленка из отходов:</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В0,75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В2,5</w:t>
            </w:r>
          </w:p>
        </w:tc>
      </w:tr>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 и деревообработки хвойных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лесозаготовок хвойных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 и деревообработки смешанных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лесозаготовок смешанных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Одубина</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270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290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280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250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290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310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310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320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320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350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340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350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370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390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400</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Примечание. Приведенные расходы вяжущих рекомендуются лишь для приготовления первого исходного замеса при подборе состава арболитовой смеси и не могут служить нормами расхода вяжущих в производственных условиях.</w:t>
      </w:r>
      <w:r w:rsidRPr="00A4614F">
        <w:rPr>
          <w:rFonts w:ascii="Verdana" w:eastAsia="Times New Roman" w:hAnsi="Verdana" w:cs="Times New Roman"/>
          <w:color w:val="333333"/>
          <w:sz w:val="18"/>
          <w:szCs w:val="18"/>
          <w:lang w:eastAsia="ru-RU"/>
        </w:rPr>
        <w:br/>
        <w:t>а сухого органического заполнителя по табл. 13 – 220 кг/м3.</w:t>
      </w:r>
      <w:r w:rsidRPr="00A4614F">
        <w:rPr>
          <w:rFonts w:ascii="Verdana" w:eastAsia="Times New Roman" w:hAnsi="Verdana" w:cs="Times New Roman"/>
          <w:color w:val="333333"/>
          <w:sz w:val="18"/>
          <w:szCs w:val="18"/>
          <w:lang w:eastAsia="ru-RU"/>
        </w:rPr>
        <w:br/>
        <w:t>С учетом влажности расход древесной дробленки составит 330 кг/м3.</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6"/>
        <w:gridCol w:w="1189"/>
        <w:gridCol w:w="1230"/>
        <w:gridCol w:w="1189"/>
        <w:gridCol w:w="1189"/>
        <w:gridCol w:w="1189"/>
        <w:gridCol w:w="1211"/>
      </w:tblGrid>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Вид</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заполнителя</w:t>
            </w:r>
          </w:p>
        </w:tc>
        <w:tc>
          <w:tcPr>
            <w:tcW w:w="0" w:type="auto"/>
            <w:gridSpan w:val="6"/>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Ориентировочный расход сухого органического заполнителя на 1 м3 арболита, кг, при портландцементе марки М 400 и классе заполнителя</w:t>
            </w:r>
          </w:p>
        </w:tc>
      </w:tr>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Дробленка из отходов:</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В0,75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В2,5</w:t>
            </w:r>
          </w:p>
        </w:tc>
      </w:tr>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 и деревообработки хвойных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лесозаготовок хвойных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 и деревообработки смешанных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лесозаготовок смешанных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Одубина</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150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180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160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170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180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180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190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200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180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200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210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220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220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220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240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220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275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250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250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290</w:t>
            </w:r>
          </w:p>
        </w:tc>
      </w:tr>
    </w:tbl>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lastRenderedPageBreak/>
        <w:t>По табл. 14 предварительный расход воды (исходный) для назначенного расхода цемента принимается 360 л/м3, хлористого кальция – 8 кг/м3.</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9"/>
        <w:gridCol w:w="1158"/>
        <w:gridCol w:w="1186"/>
        <w:gridCol w:w="1157"/>
        <w:gridCol w:w="1157"/>
        <w:gridCol w:w="1157"/>
        <w:gridCol w:w="1179"/>
      </w:tblGrid>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Вид</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заполнителя</w:t>
            </w:r>
          </w:p>
        </w:tc>
        <w:tc>
          <w:tcPr>
            <w:tcW w:w="0" w:type="auto"/>
            <w:gridSpan w:val="6"/>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Ориентировочный расход воды на 1 м3 арболита смеси при сухих органических заполнителях, при классе арболита</w:t>
            </w:r>
          </w:p>
        </w:tc>
      </w:tr>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Дробленка из отходов:</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В0,75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В1,5</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В2,5</w:t>
            </w:r>
          </w:p>
        </w:tc>
      </w:tr>
      <w:tr w:rsidR="00A4614F" w:rsidRPr="00A4614F" w:rsidTr="00A4614F">
        <w:trPr>
          <w:tblCellSpacing w:w="22" w:type="dxa"/>
          <w:jc w:val="center"/>
        </w:trPr>
        <w:tc>
          <w:tcPr>
            <w:tcW w:w="291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 и деревообработки хвойных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лесозаготовок хвойных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лесопиления и деревообработки смешанных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лесозаготовок смешанных пород</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Одубина</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310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310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210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230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250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390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390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270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380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430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300</w:t>
            </w:r>
          </w:p>
        </w:tc>
        <w:tc>
          <w:tcPr>
            <w:tcW w:w="57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400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440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460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370</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Хлорид кальция используется 10%-ной концентрации. Содержание соли в 1 л такого раствора плотностью 1,084 составляет 0,108 кг. Следовательно, для введения в арболит необходимого количества соли в виде 10%-ного раствора на 1 м3 смеси его потребуется: 8 : 0,108 = 74,07 л.</w:t>
      </w:r>
      <w:r w:rsidRPr="00A4614F">
        <w:rPr>
          <w:rFonts w:ascii="Verdana" w:eastAsia="Times New Roman" w:hAnsi="Verdana" w:cs="Times New Roman"/>
          <w:color w:val="333333"/>
          <w:sz w:val="18"/>
          <w:szCs w:val="18"/>
          <w:lang w:eastAsia="ru-RU"/>
        </w:rPr>
        <w:br/>
        <w:t>В найденном количестве раствора соли воды содержится  1,064 * 74,07 – 8 = 72,3.</w:t>
      </w:r>
      <w:r w:rsidRPr="00A4614F">
        <w:rPr>
          <w:rFonts w:ascii="Verdana" w:eastAsia="Times New Roman" w:hAnsi="Verdana" w:cs="Times New Roman"/>
          <w:color w:val="333333"/>
          <w:sz w:val="18"/>
          <w:szCs w:val="18"/>
          <w:lang w:eastAsia="ru-RU"/>
        </w:rPr>
        <w:br/>
        <w:t>В древесной дробленке, требуемой на 1 м3 с учетом  влажности древесины (50 %), содержание воды составляет  220*W/100= 110 кг (л).</w:t>
      </w:r>
    </w:p>
    <w:p w:rsidR="00A4614F" w:rsidRPr="00A4614F" w:rsidRDefault="00A4614F" w:rsidP="00A4614F">
      <w:pPr>
        <w:shd w:val="clear" w:color="auto" w:fill="FFFFFF"/>
        <w:spacing w:before="180" w:after="18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Таблица 15</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8"/>
        <w:gridCol w:w="4259"/>
        <w:gridCol w:w="2396"/>
      </w:tblGrid>
      <w:tr w:rsidR="00A4614F" w:rsidRPr="00A4614F" w:rsidTr="00A4614F">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Вид химических добавок</w:t>
            </w:r>
          </w:p>
        </w:tc>
        <w:tc>
          <w:tcPr>
            <w:tcW w:w="0" w:type="auto"/>
            <w:gridSpan w:val="2"/>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Максимальный расход химической добавки на 1 м3 арболита, кг, в зависимости от вида заполнителей</w:t>
            </w:r>
          </w:p>
        </w:tc>
      </w:tr>
      <w:tr w:rsidR="00A4614F" w:rsidRPr="00A4614F" w:rsidTr="00A4614F">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древесная дробленка</w:t>
            </w:r>
          </w:p>
        </w:tc>
        <w:tc>
          <w:tcPr>
            <w:tcW w:w="11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одубина</w:t>
            </w:r>
          </w:p>
        </w:tc>
      </w:tr>
      <w:tr w:rsidR="00A4614F" w:rsidRPr="00A4614F" w:rsidTr="00A4614F">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Кальций хлористый технический</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Стекло натриевое жидкое</w:t>
            </w:r>
          </w:p>
          <w:p w:rsidR="00A4614F" w:rsidRPr="00A4614F" w:rsidRDefault="00A4614F" w:rsidP="00A4614F">
            <w:pPr>
              <w:spacing w:after="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Комплексная добавка:</w:t>
            </w:r>
            <w:r w:rsidRPr="00A4614F">
              <w:rPr>
                <w:rFonts w:ascii="Times New Roman" w:eastAsia="Times New Roman" w:hAnsi="Times New Roman" w:cs="Times New Roman"/>
                <w:sz w:val="18"/>
                <w:lang w:eastAsia="ru-RU"/>
              </w:rPr>
              <w:t> </w:t>
            </w:r>
            <w:r w:rsidRPr="00A4614F">
              <w:rPr>
                <w:rFonts w:ascii="Times New Roman" w:eastAsia="Times New Roman" w:hAnsi="Times New Roman" w:cs="Times New Roman"/>
                <w:sz w:val="18"/>
                <w:szCs w:val="18"/>
                <w:lang w:eastAsia="ru-RU"/>
              </w:rPr>
              <w:br/>
              <w:t>сернокислый глинозем</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известь-пушонка</w:t>
            </w:r>
          </w:p>
        </w:tc>
        <w:tc>
          <w:tcPr>
            <w:tcW w:w="2130"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8</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8</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20</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25</w:t>
            </w:r>
          </w:p>
        </w:tc>
        <w:tc>
          <w:tcPr>
            <w:tcW w:w="1155" w:type="dxa"/>
            <w:tcBorders>
              <w:top w:val="outset" w:sz="6" w:space="0" w:color="auto"/>
              <w:left w:val="outset" w:sz="6" w:space="0" w:color="auto"/>
              <w:bottom w:val="outset" w:sz="6" w:space="0" w:color="auto"/>
              <w:right w:val="outset" w:sz="6" w:space="0" w:color="auto"/>
            </w:tcBorders>
            <w:hideMark/>
          </w:tcPr>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8-9</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lastRenderedPageBreak/>
              <w:t>–</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 </w:t>
            </w:r>
          </w:p>
          <w:p w:rsidR="00A4614F" w:rsidRPr="00A4614F" w:rsidRDefault="00A4614F" w:rsidP="00A4614F">
            <w:pPr>
              <w:spacing w:before="180" w:after="180" w:line="240" w:lineRule="auto"/>
              <w:jc w:val="both"/>
              <w:rPr>
                <w:rFonts w:ascii="Times New Roman" w:eastAsia="Times New Roman" w:hAnsi="Times New Roman" w:cs="Times New Roman"/>
                <w:sz w:val="18"/>
                <w:szCs w:val="18"/>
                <w:lang w:eastAsia="ru-RU"/>
              </w:rPr>
            </w:pPr>
            <w:r w:rsidRPr="00A4614F">
              <w:rPr>
                <w:rFonts w:ascii="Times New Roman" w:eastAsia="Times New Roman" w:hAnsi="Times New Roman" w:cs="Times New Roman"/>
                <w:sz w:val="18"/>
                <w:szCs w:val="18"/>
                <w:lang w:eastAsia="ru-RU"/>
              </w:rPr>
              <w:t>–</w:t>
            </w:r>
          </w:p>
        </w:tc>
      </w:tr>
    </w:tbl>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lastRenderedPageBreak/>
        <w:t>С учетом воды, содержащейся в древесной дробленке и в растворе добавки, количество воды для приготовления 1 м3 арболитовой смеси составит 360 – 72,3 – 110 = 177,7 л.</w:t>
      </w:r>
      <w:r w:rsidRPr="00A4614F">
        <w:rPr>
          <w:rFonts w:ascii="Verdana" w:eastAsia="Times New Roman" w:hAnsi="Verdana" w:cs="Times New Roman"/>
          <w:color w:val="333333"/>
          <w:sz w:val="18"/>
          <w:szCs w:val="18"/>
          <w:lang w:eastAsia="ru-RU"/>
        </w:rPr>
        <w:br/>
        <w:t>Плотность арболита в сухом состоянии при данном расходе материалов определяется по формуле</w:t>
      </w:r>
      <w:r w:rsidRPr="00A4614F">
        <w:rPr>
          <w:rFonts w:ascii="Verdana" w:eastAsia="Times New Roman" w:hAnsi="Verdana" w:cs="Times New Roman"/>
          <w:color w:val="333333"/>
          <w:sz w:val="18"/>
          <w:szCs w:val="18"/>
          <w:lang w:eastAsia="ru-RU"/>
        </w:rPr>
        <w:br/>
        <w:t>Yсух.арб. = 1,15</w:t>
      </w:r>
      <w:r w:rsidRPr="00A4614F">
        <w:rPr>
          <w:rFonts w:ascii="Verdana" w:eastAsia="Times New Roman" w:hAnsi="Verdana" w:cs="Times New Roman"/>
          <w:i/>
          <w:iCs/>
          <w:color w:val="333333"/>
          <w:sz w:val="18"/>
          <w:lang w:eastAsia="ru-RU"/>
        </w:rPr>
        <w:t>Ц </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сух +</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Х</w:t>
      </w:r>
      <w:r w:rsidRPr="00A4614F">
        <w:rPr>
          <w:rFonts w:ascii="Verdana" w:eastAsia="Times New Roman" w:hAnsi="Verdana" w:cs="Times New Roman"/>
          <w:color w:val="333333"/>
          <w:sz w:val="18"/>
          <w:szCs w:val="18"/>
          <w:lang w:eastAsia="ru-RU"/>
        </w:rPr>
        <w:t>д = 1,15 * 330 + 220 + 8 = 608 кг/м3,</w:t>
      </w:r>
      <w:r w:rsidRPr="00A4614F">
        <w:rPr>
          <w:rFonts w:ascii="Verdana" w:eastAsia="Times New Roman" w:hAnsi="Verdana" w:cs="Times New Roman"/>
          <w:color w:val="333333"/>
          <w:sz w:val="18"/>
          <w:szCs w:val="18"/>
          <w:lang w:eastAsia="ru-RU"/>
        </w:rPr>
        <w:br/>
        <w:t>где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Ц</w:t>
      </w:r>
      <w:r w:rsidRPr="00A4614F">
        <w:rPr>
          <w:rFonts w:ascii="Verdana" w:eastAsia="Times New Roman" w:hAnsi="Verdana" w:cs="Times New Roman"/>
          <w:color w:val="333333"/>
          <w:sz w:val="18"/>
          <w:szCs w:val="18"/>
          <w:lang w:eastAsia="ru-RU"/>
        </w:rPr>
        <w:t>,</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Д</w:t>
      </w:r>
      <w:r w:rsidRPr="00A4614F">
        <w:rPr>
          <w:rFonts w:ascii="Verdana" w:eastAsia="Times New Roman" w:hAnsi="Verdana" w:cs="Times New Roman"/>
          <w:color w:val="333333"/>
          <w:sz w:val="18"/>
          <w:szCs w:val="18"/>
          <w:lang w:eastAsia="ru-RU"/>
        </w:rPr>
        <w:t>сух,</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Х</w:t>
      </w:r>
      <w:r w:rsidRPr="00A4614F">
        <w:rPr>
          <w:rFonts w:ascii="Verdana" w:eastAsia="Times New Roman" w:hAnsi="Verdana" w:cs="Times New Roman"/>
          <w:color w:val="333333"/>
          <w:sz w:val="18"/>
          <w:szCs w:val="18"/>
          <w:lang w:eastAsia="ru-RU"/>
        </w:rPr>
        <w:t>д – соответственно расход цемента, древесной дробленки и химической добавки, кг/м3;</w:t>
      </w:r>
      <w:r w:rsidRPr="00A4614F">
        <w:rPr>
          <w:rFonts w:ascii="Verdana" w:eastAsia="Times New Roman" w:hAnsi="Verdana" w:cs="Times New Roman"/>
          <w:color w:val="333333"/>
          <w:sz w:val="18"/>
          <w:szCs w:val="18"/>
          <w:lang w:eastAsia="ru-RU"/>
        </w:rPr>
        <w:br/>
        <w:t>1,15</w:t>
      </w:r>
      <w:r w:rsidRPr="00A4614F">
        <w:rPr>
          <w:rFonts w:ascii="Verdana" w:eastAsia="Times New Roman" w:hAnsi="Verdana" w:cs="Times New Roman"/>
          <w:i/>
          <w:iCs/>
          <w:color w:val="333333"/>
          <w:sz w:val="18"/>
          <w:lang w:eastAsia="ru-RU"/>
        </w:rPr>
        <w:t>Ц</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масса цементного камня с учетом химически связанной воды, кг/м3.</w:t>
      </w:r>
      <w:r w:rsidRPr="00A4614F">
        <w:rPr>
          <w:rFonts w:ascii="Verdana" w:eastAsia="Times New Roman" w:hAnsi="Verdana" w:cs="Times New Roman"/>
          <w:color w:val="333333"/>
          <w:sz w:val="18"/>
          <w:szCs w:val="18"/>
          <w:lang w:eastAsia="ru-RU"/>
        </w:rPr>
        <w:br/>
        <w:t>Плотность уложенной арболитовой смеси при данном расходе материалов составит: Yа.см = 330 + 220 + 360 + 8 = 918 кг/м3.</w:t>
      </w:r>
      <w:r w:rsidRPr="00A4614F">
        <w:rPr>
          <w:rFonts w:ascii="Verdana" w:eastAsia="Times New Roman" w:hAnsi="Verdana" w:cs="Times New Roman"/>
          <w:color w:val="333333"/>
          <w:sz w:val="18"/>
          <w:szCs w:val="18"/>
          <w:lang w:eastAsia="ru-RU"/>
        </w:rPr>
        <w:br/>
        <w:t>Для установления требуемого расхода цемента необходимо изготовить и испытать три серии образцов с разным расходом цемента: одну – с намеченным исходным расходом 330 кг/м3 и две дополнительные серии с расходом цемента на 15% меньше и больше принятого, т. е. 280 и 380 кг/м3.</w:t>
      </w:r>
      <w:r w:rsidRPr="00A4614F">
        <w:rPr>
          <w:rFonts w:ascii="Verdana" w:eastAsia="Times New Roman" w:hAnsi="Verdana" w:cs="Times New Roman"/>
          <w:color w:val="333333"/>
          <w:sz w:val="18"/>
          <w:szCs w:val="18"/>
          <w:lang w:eastAsia="ru-RU"/>
        </w:rPr>
        <w:br/>
        <w:t>Оптимальный расход щепы для каждого из расходов цемента определяется из условия получения при принятых условиях уплотнения арболита с наибольшим коэффициентом конструктивного качества</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ККК</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color w:val="333333"/>
          <w:sz w:val="18"/>
          <w:szCs w:val="18"/>
          <w:lang w:eastAsia="ru-RU"/>
        </w:rPr>
        <w:t>= R</w:t>
      </w:r>
      <w:r w:rsidRPr="00A4614F">
        <w:rPr>
          <w:rFonts w:ascii="Verdana" w:eastAsia="Times New Roman" w:hAnsi="Verdana" w:cs="Times New Roman"/>
          <w:color w:val="333333"/>
          <w:sz w:val="18"/>
          <w:lang w:eastAsia="ru-RU"/>
        </w:rPr>
        <w:t>0</w:t>
      </w:r>
      <w:r w:rsidRPr="00A4614F">
        <w:rPr>
          <w:rFonts w:ascii="Verdana" w:eastAsia="Times New Roman" w:hAnsi="Verdana" w:cs="Times New Roman"/>
          <w:color w:val="333333"/>
          <w:sz w:val="18"/>
          <w:szCs w:val="18"/>
          <w:lang w:eastAsia="ru-RU"/>
        </w:rPr>
        <w:t>/Y</w:t>
      </w:r>
      <w:r w:rsidRPr="00A4614F">
        <w:rPr>
          <w:rFonts w:ascii="Verdana" w:eastAsia="Times New Roman" w:hAnsi="Verdana" w:cs="Times New Roman"/>
          <w:color w:val="333333"/>
          <w:sz w:val="18"/>
          <w:lang w:eastAsia="ru-RU"/>
        </w:rPr>
        <w:t>0</w:t>
      </w:r>
      <w:r w:rsidRPr="00A4614F">
        <w:rPr>
          <w:rFonts w:ascii="Verdana" w:eastAsia="Times New Roman" w:hAnsi="Verdana" w:cs="Times New Roman"/>
          <w:color w:val="333333"/>
          <w:sz w:val="18"/>
          <w:szCs w:val="18"/>
          <w:lang w:eastAsia="ru-RU"/>
        </w:rPr>
        <w:t> при этом не должно наблюдаться расслоения смеси и водоотделения.</w:t>
      </w:r>
      <w:r w:rsidRPr="00A4614F">
        <w:rPr>
          <w:rFonts w:ascii="Verdana" w:eastAsia="Times New Roman" w:hAnsi="Verdana" w:cs="Times New Roman"/>
          <w:color w:val="333333"/>
          <w:sz w:val="18"/>
          <w:szCs w:val="18"/>
          <w:lang w:eastAsia="ru-RU"/>
        </w:rPr>
        <w:br/>
        <w:t>Для каждого расхода цемента принимается три расхода воды: установленный по табл. 14 (360 л/м3) и на 5% больше или меньше.</w:t>
      </w:r>
      <w:r w:rsidRPr="00A4614F">
        <w:rPr>
          <w:rFonts w:ascii="Verdana" w:eastAsia="Times New Roman" w:hAnsi="Verdana" w:cs="Times New Roman"/>
          <w:color w:val="333333"/>
          <w:sz w:val="18"/>
          <w:lang w:eastAsia="ru-RU"/>
        </w:rPr>
        <w:t> </w:t>
      </w:r>
      <w:r w:rsidRPr="00A4614F">
        <w:rPr>
          <w:rFonts w:ascii="Verdana" w:eastAsia="Times New Roman" w:hAnsi="Verdana" w:cs="Times New Roman"/>
          <w:i/>
          <w:iCs/>
          <w:color w:val="333333"/>
          <w:sz w:val="18"/>
          <w:lang w:eastAsia="ru-RU"/>
        </w:rPr>
        <w:t>ККК</w:t>
      </w:r>
      <w:r w:rsidRPr="00A4614F">
        <w:rPr>
          <w:rFonts w:ascii="Verdana" w:eastAsia="Times New Roman" w:hAnsi="Verdana" w:cs="Times New Roman"/>
          <w:color w:val="333333"/>
          <w:sz w:val="18"/>
          <w:szCs w:val="18"/>
          <w:lang w:eastAsia="ru-RU"/>
        </w:rPr>
        <w:t>арболита определяем на 3–7 сут по результатам испытания трех контрольных кубов размером 15*15*15 см в соответствии с ГОСТ 10180–78. Затем для каждого из трех расходов цемента с оптимальным расходом воды готовят контрольные образцы из арболита для определения марочной прочности. Все образцы изготовляются с соблюдением параметров уплотнения и твердения, близких к производственным.</w:t>
      </w:r>
      <w:r w:rsidRPr="00A4614F">
        <w:rPr>
          <w:rFonts w:ascii="Verdana" w:eastAsia="Times New Roman" w:hAnsi="Verdana" w:cs="Times New Roman"/>
          <w:color w:val="333333"/>
          <w:sz w:val="18"/>
          <w:szCs w:val="18"/>
          <w:lang w:eastAsia="ru-RU"/>
        </w:rPr>
        <w:br/>
        <w:t>Опытные образцы для определения марки арболита хранятся в течение 28 сут при (20 ±2) °С и относительной влажности воздуха (70±10)%. Для уточнения распалубочной или отпускной прочности при необходимости изготовляются и испытываются образцы в возрасте 1–7 сут.</w:t>
      </w:r>
      <w:r w:rsidRPr="00A4614F">
        <w:rPr>
          <w:rFonts w:ascii="Verdana" w:eastAsia="Times New Roman" w:hAnsi="Verdana" w:cs="Times New Roman"/>
          <w:color w:val="333333"/>
          <w:sz w:val="18"/>
          <w:szCs w:val="18"/>
          <w:lang w:eastAsia="ru-RU"/>
        </w:rPr>
        <w:br/>
        <w:t>Средний предел прочности при сжатии образцов для каждого из трех расходов цемента с оптимальным для каждого из них расходом воды наносится на график с координатами: расходы цемента на 1 м3 арболита и предел прочности образцов при сжатии, МПа. Прямая, проходящая через полученные точки, выражает приближенную зависимость прочности арболита от расхода цемента. По графику определяют требуемый расход цемента для получения арболита заданного класса при принятых условиях уплотнения и твердения (в данном случае для класса В2,5).</w:t>
      </w:r>
      <w:r w:rsidRPr="00A4614F">
        <w:rPr>
          <w:rFonts w:ascii="Verdana" w:eastAsia="Times New Roman" w:hAnsi="Verdana" w:cs="Times New Roman"/>
          <w:color w:val="333333"/>
          <w:sz w:val="18"/>
          <w:szCs w:val="18"/>
          <w:lang w:eastAsia="ru-RU"/>
        </w:rPr>
        <w:br/>
        <w:t>Контроль плотности арболитовой смеси и арболита осуществляется на свежеотформованных образцах и перед их испытанием на сжатие. Для установления плотности высушенного арболита разрушенные образцы после их испытания на сжатие дробят, берут среднюю пробу и высушивают ее при 80±5 °С до постоянной массы. Плотность высушенного арболита определяется по ГОСТ 12730.1–78.</w:t>
      </w:r>
      <w:r w:rsidRPr="00A4614F">
        <w:rPr>
          <w:rFonts w:ascii="Verdana" w:eastAsia="Times New Roman" w:hAnsi="Verdana" w:cs="Times New Roman"/>
          <w:color w:val="333333"/>
          <w:sz w:val="18"/>
          <w:szCs w:val="18"/>
          <w:lang w:eastAsia="ru-RU"/>
        </w:rPr>
        <w:br/>
        <w:t>Расход химической добавки должен оцениваться испытанием на образование высолов по методике, приведенной в прил. 1.</w:t>
      </w:r>
      <w:r w:rsidRPr="00A4614F">
        <w:rPr>
          <w:rFonts w:ascii="Verdana" w:eastAsia="Times New Roman" w:hAnsi="Verdana" w:cs="Times New Roman"/>
          <w:color w:val="333333"/>
          <w:sz w:val="18"/>
          <w:szCs w:val="18"/>
          <w:lang w:eastAsia="ru-RU"/>
        </w:rPr>
        <w:br/>
        <w:t>После проверки подобранного состава арболита в производственных условиях он выдается предприятию с указанием расходов материалов на 1 м3 и один замес бетоносмесителя.</w:t>
      </w:r>
      <w:r w:rsidRPr="00A4614F">
        <w:rPr>
          <w:rFonts w:ascii="Verdana" w:eastAsia="Times New Roman" w:hAnsi="Verdana" w:cs="Times New Roman"/>
          <w:color w:val="333333"/>
          <w:sz w:val="18"/>
          <w:szCs w:val="18"/>
          <w:lang w:eastAsia="ru-RU"/>
        </w:rPr>
        <w:br/>
        <w:t>Лаборатория после установления фактической влажности дробленки в начале каждой смены, в соответствии с заданным расходом составляющих на 1 м3 арболита, корректирует дозирование воды и заполнителя.</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lang w:eastAsia="ru-RU"/>
        </w:rPr>
        <w:t>Содержание</w:t>
      </w:r>
    </w:p>
    <w:p w:rsidR="00A4614F" w:rsidRPr="00A4614F" w:rsidRDefault="00A4614F" w:rsidP="00A4614F">
      <w:pPr>
        <w:shd w:val="clear" w:color="auto" w:fill="FFFFFF"/>
        <w:spacing w:after="0" w:line="270" w:lineRule="atLeast"/>
        <w:jc w:val="both"/>
        <w:rPr>
          <w:rFonts w:ascii="Verdana" w:eastAsia="Times New Roman" w:hAnsi="Verdana" w:cs="Times New Roman"/>
          <w:color w:val="333333"/>
          <w:sz w:val="18"/>
          <w:szCs w:val="18"/>
          <w:lang w:eastAsia="ru-RU"/>
        </w:rPr>
      </w:pPr>
      <w:r w:rsidRPr="00A4614F">
        <w:rPr>
          <w:rFonts w:ascii="Verdana" w:eastAsia="Times New Roman" w:hAnsi="Verdana" w:cs="Times New Roman"/>
          <w:color w:val="333333"/>
          <w:sz w:val="18"/>
          <w:szCs w:val="18"/>
          <w:lang w:eastAsia="ru-RU"/>
        </w:rPr>
        <w:t>1. Общие положения</w:t>
      </w:r>
      <w:r w:rsidRPr="00A4614F">
        <w:rPr>
          <w:rFonts w:ascii="Verdana" w:eastAsia="Times New Roman" w:hAnsi="Verdana" w:cs="Times New Roman"/>
          <w:color w:val="333333"/>
          <w:sz w:val="18"/>
          <w:szCs w:val="18"/>
          <w:lang w:eastAsia="ru-RU"/>
        </w:rPr>
        <w:br/>
        <w:t>2. Требования к исходным материалам, арболиту и конструкциям из него</w:t>
      </w:r>
      <w:r w:rsidRPr="00A4614F">
        <w:rPr>
          <w:rFonts w:ascii="Verdana" w:eastAsia="Times New Roman" w:hAnsi="Verdana" w:cs="Times New Roman"/>
          <w:color w:val="333333"/>
          <w:sz w:val="18"/>
          <w:szCs w:val="18"/>
          <w:lang w:eastAsia="ru-RU"/>
        </w:rPr>
        <w:br/>
        <w:t>3. Проектирование конструкций из арболита</w:t>
      </w:r>
      <w:r w:rsidRPr="00A4614F">
        <w:rPr>
          <w:rFonts w:ascii="Verdana" w:eastAsia="Times New Roman" w:hAnsi="Verdana" w:cs="Times New Roman"/>
          <w:color w:val="333333"/>
          <w:sz w:val="18"/>
          <w:szCs w:val="18"/>
          <w:lang w:eastAsia="ru-RU"/>
        </w:rPr>
        <w:br/>
        <w:t>4. Порядок подбора и назначения состава арболита</w:t>
      </w:r>
      <w:r w:rsidRPr="00A4614F">
        <w:rPr>
          <w:rFonts w:ascii="Verdana" w:eastAsia="Times New Roman" w:hAnsi="Verdana" w:cs="Times New Roman"/>
          <w:color w:val="333333"/>
          <w:sz w:val="18"/>
          <w:szCs w:val="18"/>
          <w:lang w:eastAsia="ru-RU"/>
        </w:rPr>
        <w:br/>
        <w:t>5. Приготовление и транспортирование арболитовых смесей</w:t>
      </w:r>
      <w:r w:rsidRPr="00A4614F">
        <w:rPr>
          <w:rFonts w:ascii="Verdana" w:eastAsia="Times New Roman" w:hAnsi="Verdana" w:cs="Times New Roman"/>
          <w:color w:val="333333"/>
          <w:sz w:val="18"/>
          <w:szCs w:val="18"/>
          <w:lang w:eastAsia="ru-RU"/>
        </w:rPr>
        <w:br/>
      </w:r>
      <w:r w:rsidRPr="00A4614F">
        <w:rPr>
          <w:rFonts w:ascii="Verdana" w:eastAsia="Times New Roman" w:hAnsi="Verdana" w:cs="Times New Roman"/>
          <w:color w:val="333333"/>
          <w:sz w:val="18"/>
          <w:szCs w:val="18"/>
          <w:lang w:eastAsia="ru-RU"/>
        </w:rPr>
        <w:lastRenderedPageBreak/>
        <w:t>6. Формование конструкций из арболита</w:t>
      </w:r>
      <w:r w:rsidRPr="00A4614F">
        <w:rPr>
          <w:rFonts w:ascii="Verdana" w:eastAsia="Times New Roman" w:hAnsi="Verdana" w:cs="Times New Roman"/>
          <w:color w:val="333333"/>
          <w:sz w:val="18"/>
          <w:szCs w:val="18"/>
          <w:lang w:eastAsia="ru-RU"/>
        </w:rPr>
        <w:br/>
        <w:t>7. Твердение конструкций из арболита</w:t>
      </w:r>
      <w:r w:rsidRPr="00A4614F">
        <w:rPr>
          <w:rFonts w:ascii="Verdana" w:eastAsia="Times New Roman" w:hAnsi="Verdana" w:cs="Times New Roman"/>
          <w:color w:val="333333"/>
          <w:sz w:val="18"/>
          <w:szCs w:val="18"/>
          <w:lang w:eastAsia="ru-RU"/>
        </w:rPr>
        <w:br/>
        <w:t>8. Распалубка, доводка, хранение и транспортировка конструкций из арболита</w:t>
      </w:r>
      <w:r w:rsidRPr="00A4614F">
        <w:rPr>
          <w:rFonts w:ascii="Verdana" w:eastAsia="Times New Roman" w:hAnsi="Verdana" w:cs="Times New Roman"/>
          <w:color w:val="333333"/>
          <w:sz w:val="18"/>
          <w:szCs w:val="18"/>
          <w:lang w:eastAsia="ru-RU"/>
        </w:rPr>
        <w:br/>
        <w:t>9. Особенности производства конструкций из арболита в зимнее время</w:t>
      </w:r>
      <w:r w:rsidRPr="00A4614F">
        <w:rPr>
          <w:rFonts w:ascii="Verdana" w:eastAsia="Times New Roman" w:hAnsi="Verdana" w:cs="Times New Roman"/>
          <w:color w:val="333333"/>
          <w:sz w:val="18"/>
          <w:szCs w:val="18"/>
          <w:lang w:eastAsia="ru-RU"/>
        </w:rPr>
        <w:br/>
        <w:t>10. Контроль качества исходных материалов, арболита и готовых конструкций</w:t>
      </w:r>
      <w:r w:rsidRPr="00A4614F">
        <w:rPr>
          <w:rFonts w:ascii="Verdana" w:eastAsia="Times New Roman" w:hAnsi="Verdana" w:cs="Times New Roman"/>
          <w:color w:val="333333"/>
          <w:sz w:val="18"/>
          <w:szCs w:val="18"/>
          <w:lang w:eastAsia="ru-RU"/>
        </w:rPr>
        <w:br/>
        <w:t>Приложение 1. Методы испытаний древесной дробленки, арболитовой смеси и затвердевшего арболита</w:t>
      </w:r>
      <w:r w:rsidRPr="00A4614F">
        <w:rPr>
          <w:rFonts w:ascii="Verdana" w:eastAsia="Times New Roman" w:hAnsi="Verdana" w:cs="Times New Roman"/>
          <w:color w:val="333333"/>
          <w:sz w:val="18"/>
          <w:szCs w:val="18"/>
          <w:lang w:eastAsia="ru-RU"/>
        </w:rPr>
        <w:br/>
        <w:t>Приложение 2. Дозирование материалов для приготовления арболита</w:t>
      </w:r>
      <w:r w:rsidRPr="00A4614F">
        <w:rPr>
          <w:rFonts w:ascii="Verdana" w:eastAsia="Times New Roman" w:hAnsi="Verdana" w:cs="Times New Roman"/>
          <w:color w:val="333333"/>
          <w:sz w:val="18"/>
          <w:szCs w:val="18"/>
          <w:lang w:eastAsia="ru-RU"/>
        </w:rPr>
        <w:br/>
        <w:t>Приложение 3. Пример подбора состава арболита</w:t>
      </w:r>
    </w:p>
    <w:p w:rsidR="00A4614F" w:rsidRDefault="00A4614F"/>
    <w:sectPr w:rsidR="00A46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14F"/>
    <w:rsid w:val="00A4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1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1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6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14F"/>
    <w:rPr>
      <w:b/>
      <w:bCs/>
    </w:rPr>
  </w:style>
  <w:style w:type="character" w:styleId="a5">
    <w:name w:val="Emphasis"/>
    <w:basedOn w:val="a0"/>
    <w:uiPriority w:val="20"/>
    <w:qFormat/>
    <w:rsid w:val="00A4614F"/>
    <w:rPr>
      <w:i/>
      <w:iCs/>
    </w:rPr>
  </w:style>
  <w:style w:type="character" w:customStyle="1" w:styleId="apple-converted-space">
    <w:name w:val="apple-converted-space"/>
    <w:basedOn w:val="a0"/>
    <w:rsid w:val="00A4614F"/>
  </w:style>
  <w:style w:type="character" w:customStyle="1" w:styleId="headtext">
    <w:name w:val="headtext"/>
    <w:basedOn w:val="a0"/>
    <w:rsid w:val="00A4614F"/>
  </w:style>
  <w:style w:type="character" w:styleId="a6">
    <w:name w:val="Hyperlink"/>
    <w:basedOn w:val="a0"/>
    <w:uiPriority w:val="99"/>
    <w:semiHidden/>
    <w:unhideWhenUsed/>
    <w:rsid w:val="00A4614F"/>
    <w:rPr>
      <w:color w:val="0000FF"/>
      <w:u w:val="single"/>
    </w:rPr>
  </w:style>
  <w:style w:type="character" w:styleId="a7">
    <w:name w:val="FollowedHyperlink"/>
    <w:basedOn w:val="a0"/>
    <w:uiPriority w:val="99"/>
    <w:semiHidden/>
    <w:unhideWhenUsed/>
    <w:rsid w:val="00A4614F"/>
    <w:rPr>
      <w:color w:val="800080"/>
      <w:u w:val="single"/>
    </w:rPr>
  </w:style>
  <w:style w:type="paragraph" w:customStyle="1" w:styleId="headtext1">
    <w:name w:val="headtext1"/>
    <w:basedOn w:val="a"/>
    <w:rsid w:val="00A46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A46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A4614F"/>
  </w:style>
  <w:style w:type="character" w:customStyle="1" w:styleId="style2">
    <w:name w:val="style2"/>
    <w:basedOn w:val="a0"/>
    <w:rsid w:val="00A4614F"/>
  </w:style>
  <w:style w:type="character" w:customStyle="1" w:styleId="style3">
    <w:name w:val="style3"/>
    <w:basedOn w:val="a0"/>
    <w:rsid w:val="00A4614F"/>
  </w:style>
  <w:style w:type="character" w:customStyle="1" w:styleId="style4">
    <w:name w:val="style4"/>
    <w:basedOn w:val="a0"/>
    <w:rsid w:val="00A4614F"/>
  </w:style>
  <w:style w:type="paragraph" w:styleId="a8">
    <w:name w:val="Balloon Text"/>
    <w:basedOn w:val="a"/>
    <w:link w:val="a9"/>
    <w:uiPriority w:val="99"/>
    <w:semiHidden/>
    <w:unhideWhenUsed/>
    <w:rsid w:val="00A46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682741">
      <w:bodyDiv w:val="1"/>
      <w:marLeft w:val="0"/>
      <w:marRight w:val="0"/>
      <w:marTop w:val="0"/>
      <w:marBottom w:val="0"/>
      <w:divBdr>
        <w:top w:val="none" w:sz="0" w:space="0" w:color="auto"/>
        <w:left w:val="none" w:sz="0" w:space="0" w:color="auto"/>
        <w:bottom w:val="none" w:sz="0" w:space="0" w:color="auto"/>
        <w:right w:val="none" w:sz="0" w:space="0" w:color="auto"/>
      </w:divBdr>
      <w:divsChild>
        <w:div w:id="39632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boli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rbolit.net/" TargetMode="External"/><Relationship Id="rId4" Type="http://schemas.openxmlformats.org/officeDocument/2006/relationships/hyperlink" Target="http://arbolit.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11938</Words>
  <Characters>68053</Characters>
  <Application>Microsoft Office Word</Application>
  <DocSecurity>0</DocSecurity>
  <Lines>567</Lines>
  <Paragraphs>159</Paragraphs>
  <ScaleCrop>false</ScaleCrop>
  <Company/>
  <LinksUpToDate>false</LinksUpToDate>
  <CharactersWithSpaces>79832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2012-03-16T11:33:00Z</dcterms:created>
  <dcterms:modified xsi:type="dcterms:W3CDTF">2012-03-16T11:33:00Z</dcterms:modified>
</cp:coreProperties>
</file>